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14E" w:rsidRPr="004667A2" w:rsidRDefault="00A05F9C" w:rsidP="000C29A7">
      <w:pPr>
        <w:jc w:val="center"/>
        <w:rPr>
          <w:rFonts w:ascii="Book Antiqua" w:hAnsi="Book Antiqua"/>
          <w:b/>
          <w:sz w:val="40"/>
          <w:szCs w:val="40"/>
          <w:u w:val="single"/>
        </w:rPr>
      </w:pPr>
      <w:r>
        <w:rPr>
          <w:rFonts w:ascii="Book Antiqua" w:hAnsi="Book Antiqua"/>
          <w:b/>
          <w:sz w:val="40"/>
          <w:szCs w:val="40"/>
          <w:u w:val="single"/>
        </w:rPr>
        <w:t>Policy for determining</w:t>
      </w:r>
      <w:r w:rsidR="000C29A7" w:rsidRPr="004667A2">
        <w:rPr>
          <w:rFonts w:ascii="Book Antiqua" w:hAnsi="Book Antiqua"/>
          <w:b/>
          <w:sz w:val="40"/>
          <w:szCs w:val="40"/>
          <w:u w:val="single"/>
        </w:rPr>
        <w:t xml:space="preserve"> of Materiality of Events </w:t>
      </w:r>
    </w:p>
    <w:p w:rsidR="000C29A7" w:rsidRPr="004667A2" w:rsidRDefault="000C29A7" w:rsidP="000C29A7">
      <w:pPr>
        <w:jc w:val="center"/>
        <w:rPr>
          <w:rFonts w:ascii="Book Antiqua" w:hAnsi="Book Antiqua"/>
        </w:rPr>
      </w:pPr>
    </w:p>
    <w:p w:rsidR="00C65DB5" w:rsidRPr="00C65DB5" w:rsidRDefault="000C29A7" w:rsidP="00C65DB5">
      <w:pPr>
        <w:ind w:hanging="270"/>
        <w:jc w:val="both"/>
        <w:rPr>
          <w:rFonts w:ascii="Book Antiqua" w:hAnsi="Book Antiqua"/>
          <w:b/>
          <w:bCs/>
        </w:rPr>
      </w:pPr>
      <w:r w:rsidRPr="004667A2">
        <w:rPr>
          <w:rFonts w:ascii="Book Antiqua" w:hAnsi="Book Antiqua"/>
          <w:b/>
        </w:rPr>
        <w:t xml:space="preserve">1. </w:t>
      </w:r>
      <w:r w:rsidR="004667A2" w:rsidRPr="004667A2">
        <w:rPr>
          <w:rFonts w:ascii="Book Antiqua" w:hAnsi="Book Antiqua"/>
          <w:b/>
        </w:rPr>
        <w:t xml:space="preserve"> </w:t>
      </w:r>
      <w:r w:rsidR="00C65DB5">
        <w:rPr>
          <w:rFonts w:ascii="Book Antiqua" w:hAnsi="Book Antiqua"/>
          <w:b/>
          <w:bCs/>
          <w:u w:val="single"/>
        </w:rPr>
        <w:t>Introduction</w:t>
      </w:r>
    </w:p>
    <w:p w:rsidR="00D33A1B" w:rsidRDefault="000C29A7" w:rsidP="00C65DB5">
      <w:pPr>
        <w:jc w:val="both"/>
        <w:rPr>
          <w:rFonts w:ascii="Book Antiqua" w:hAnsi="Book Antiqua"/>
        </w:rPr>
      </w:pPr>
      <w:r w:rsidRPr="004667A2">
        <w:rPr>
          <w:rFonts w:ascii="Book Antiqua" w:hAnsi="Book Antiqua"/>
        </w:rPr>
        <w:t>The Board of Directors of Hexaware Technologies Limited (</w:t>
      </w:r>
      <w:r w:rsidRPr="004667A2">
        <w:rPr>
          <w:rFonts w:ascii="Book Antiqua" w:hAnsi="Book Antiqua"/>
          <w:b/>
          <w:bCs/>
        </w:rPr>
        <w:t>the “Company</w:t>
      </w:r>
      <w:r w:rsidR="00E47F5F">
        <w:rPr>
          <w:rFonts w:ascii="Book Antiqua" w:hAnsi="Book Antiqua"/>
        </w:rPr>
        <w:t>”) has adopted this</w:t>
      </w:r>
      <w:r w:rsidRPr="004667A2">
        <w:rPr>
          <w:rFonts w:ascii="Book Antiqua" w:hAnsi="Book Antiqua"/>
        </w:rPr>
        <w:t xml:space="preserve"> policy</w:t>
      </w:r>
      <w:r w:rsidR="00E47F5F" w:rsidRPr="00E47F5F">
        <w:rPr>
          <w:rFonts w:ascii="Book Antiqua" w:hAnsi="Book Antiqua"/>
        </w:rPr>
        <w:t xml:space="preserve">, </w:t>
      </w:r>
      <w:r w:rsidRPr="004667A2">
        <w:rPr>
          <w:rFonts w:ascii="Book Antiqua" w:hAnsi="Book Antiqua"/>
        </w:rPr>
        <w:t xml:space="preserve">for </w:t>
      </w:r>
      <w:r w:rsidR="00A05F9C">
        <w:rPr>
          <w:rFonts w:ascii="Book Antiqua" w:hAnsi="Book Antiqua"/>
        </w:rPr>
        <w:t>determin</w:t>
      </w:r>
      <w:r w:rsidR="00AD3933">
        <w:rPr>
          <w:rFonts w:ascii="Book Antiqua" w:hAnsi="Book Antiqua"/>
        </w:rPr>
        <w:t>ation</w:t>
      </w:r>
      <w:r w:rsidRPr="004667A2">
        <w:rPr>
          <w:rFonts w:ascii="Book Antiqua" w:hAnsi="Book Antiqua"/>
        </w:rPr>
        <w:t xml:space="preserve"> of Materiality </w:t>
      </w:r>
      <w:r w:rsidR="00AD3933">
        <w:rPr>
          <w:rFonts w:ascii="Book Antiqua" w:hAnsi="Book Antiqua"/>
        </w:rPr>
        <w:t>for</w:t>
      </w:r>
      <w:r w:rsidRPr="004667A2">
        <w:rPr>
          <w:rFonts w:ascii="Book Antiqua" w:hAnsi="Book Antiqua"/>
        </w:rPr>
        <w:t xml:space="preserve"> </w:t>
      </w:r>
      <w:r w:rsidR="00AD3933">
        <w:rPr>
          <w:rFonts w:ascii="Book Antiqua" w:hAnsi="Book Antiqua"/>
        </w:rPr>
        <w:t>e</w:t>
      </w:r>
      <w:r w:rsidRPr="004667A2">
        <w:rPr>
          <w:rFonts w:ascii="Book Antiqua" w:hAnsi="Book Antiqua"/>
        </w:rPr>
        <w:t xml:space="preserve">vents in line with the provisions of SEBI (Listing Obligation and Disclosure </w:t>
      </w:r>
      <w:r w:rsidR="00C03A75" w:rsidRPr="004667A2">
        <w:rPr>
          <w:rFonts w:ascii="Book Antiqua" w:hAnsi="Book Antiqua"/>
        </w:rPr>
        <w:t>Requirements</w:t>
      </w:r>
      <w:r w:rsidRPr="004667A2">
        <w:rPr>
          <w:rFonts w:ascii="Book Antiqua" w:hAnsi="Book Antiqua"/>
        </w:rPr>
        <w:t xml:space="preserve">) Regulations, 2015 </w:t>
      </w:r>
      <w:r w:rsidR="00685EB9">
        <w:rPr>
          <w:rFonts w:ascii="Book Antiqua" w:hAnsi="Book Antiqua"/>
        </w:rPr>
        <w:t xml:space="preserve"> </w:t>
      </w:r>
      <w:r w:rsidRPr="004667A2">
        <w:rPr>
          <w:rFonts w:ascii="Book Antiqua" w:hAnsi="Book Antiqua"/>
        </w:rPr>
        <w:t>(Effective from 1</w:t>
      </w:r>
      <w:r w:rsidRPr="004667A2">
        <w:rPr>
          <w:rFonts w:ascii="Book Antiqua" w:hAnsi="Book Antiqua"/>
          <w:vertAlign w:val="superscript"/>
        </w:rPr>
        <w:t>st</w:t>
      </w:r>
      <w:r w:rsidRPr="004667A2">
        <w:rPr>
          <w:rFonts w:ascii="Book Antiqua" w:hAnsi="Book Antiqua"/>
        </w:rPr>
        <w:t xml:space="preserve"> December, 2015) </w:t>
      </w:r>
      <w:r w:rsidR="00FD1350">
        <w:rPr>
          <w:rFonts w:ascii="Book Antiqua" w:hAnsi="Book Antiqua"/>
        </w:rPr>
        <w:t xml:space="preserve">(here in after referred as </w:t>
      </w:r>
      <w:r w:rsidR="00FD1350" w:rsidRPr="00FD1350">
        <w:rPr>
          <w:rFonts w:ascii="Book Antiqua" w:hAnsi="Book Antiqua"/>
          <w:b/>
        </w:rPr>
        <w:t>Listing Regulation</w:t>
      </w:r>
      <w:r w:rsidR="00FD1350">
        <w:rPr>
          <w:rFonts w:ascii="Book Antiqua" w:hAnsi="Book Antiqua"/>
        </w:rPr>
        <w:t>)</w:t>
      </w:r>
      <w:r w:rsidR="0059583D">
        <w:rPr>
          <w:rFonts w:ascii="Book Antiqua" w:hAnsi="Book Antiqua"/>
        </w:rPr>
        <w:t xml:space="preserve"> </w:t>
      </w:r>
      <w:r w:rsidRPr="004667A2">
        <w:rPr>
          <w:rFonts w:ascii="Book Antiqua" w:hAnsi="Book Antiqua"/>
        </w:rPr>
        <w:t xml:space="preserve">This Policy will be applicable to the Company </w:t>
      </w:r>
      <w:r w:rsidR="0059583D">
        <w:rPr>
          <w:rFonts w:ascii="Book Antiqua" w:hAnsi="Book Antiqua"/>
        </w:rPr>
        <w:t xml:space="preserve">with </w:t>
      </w:r>
      <w:r w:rsidRPr="004667A2">
        <w:rPr>
          <w:rFonts w:ascii="Book Antiqua" w:hAnsi="Book Antiqua"/>
        </w:rPr>
        <w:t>effect</w:t>
      </w:r>
      <w:r w:rsidR="005E3B1E">
        <w:rPr>
          <w:rFonts w:ascii="Book Antiqua" w:hAnsi="Book Antiqua"/>
        </w:rPr>
        <w:t xml:space="preserve"> from</w:t>
      </w:r>
      <w:r w:rsidRPr="004667A2">
        <w:rPr>
          <w:rFonts w:ascii="Book Antiqua" w:hAnsi="Book Antiqua"/>
        </w:rPr>
        <w:t xml:space="preserve"> </w:t>
      </w:r>
      <w:r w:rsidRPr="004667A2">
        <w:rPr>
          <w:rFonts w:ascii="Book Antiqua" w:hAnsi="Book Antiqua"/>
          <w:b/>
          <w:bCs/>
        </w:rPr>
        <w:t>1</w:t>
      </w:r>
      <w:r w:rsidRPr="004667A2">
        <w:rPr>
          <w:rFonts w:ascii="Book Antiqua" w:hAnsi="Book Antiqua"/>
          <w:b/>
          <w:bCs/>
          <w:vertAlign w:val="superscript"/>
        </w:rPr>
        <w:t>st</w:t>
      </w:r>
      <w:r w:rsidRPr="004667A2">
        <w:rPr>
          <w:rFonts w:ascii="Book Antiqua" w:hAnsi="Book Antiqua"/>
          <w:b/>
          <w:bCs/>
        </w:rPr>
        <w:t xml:space="preserve"> December, 2015</w:t>
      </w:r>
      <w:r w:rsidRPr="004667A2">
        <w:rPr>
          <w:rFonts w:ascii="Book Antiqua" w:hAnsi="Book Antiqua"/>
        </w:rPr>
        <w:t>.</w:t>
      </w:r>
    </w:p>
    <w:p w:rsidR="00C65DB5" w:rsidRPr="004667A2" w:rsidRDefault="00C65DB5" w:rsidP="00C65DB5">
      <w:pPr>
        <w:jc w:val="both"/>
        <w:rPr>
          <w:rFonts w:ascii="Book Antiqua" w:hAnsi="Book Antiqua"/>
        </w:rPr>
      </w:pPr>
    </w:p>
    <w:p w:rsidR="00E47F5F" w:rsidRDefault="004667A2" w:rsidP="00C65DB5">
      <w:pPr>
        <w:pStyle w:val="Default"/>
        <w:ind w:hanging="270"/>
        <w:jc w:val="both"/>
        <w:rPr>
          <w:rFonts w:ascii="Book Antiqua" w:hAnsi="Book Antiqua" w:cstheme="minorBidi"/>
          <w:b/>
          <w:bCs/>
          <w:color w:val="auto"/>
          <w:sz w:val="22"/>
          <w:szCs w:val="22"/>
        </w:rPr>
      </w:pPr>
      <w:r w:rsidRPr="004667A2">
        <w:rPr>
          <w:rFonts w:ascii="Book Antiqua" w:hAnsi="Book Antiqua" w:cstheme="minorBidi"/>
          <w:b/>
          <w:bCs/>
          <w:color w:val="auto"/>
          <w:sz w:val="22"/>
          <w:szCs w:val="22"/>
        </w:rPr>
        <w:t xml:space="preserve">2. </w:t>
      </w:r>
      <w:r w:rsidRPr="000F230D">
        <w:rPr>
          <w:rFonts w:ascii="Book Antiqua" w:hAnsi="Book Antiqua" w:cstheme="minorBidi"/>
          <w:b/>
          <w:bCs/>
          <w:color w:val="auto"/>
          <w:sz w:val="22"/>
          <w:szCs w:val="22"/>
          <w:u w:val="single"/>
        </w:rPr>
        <w:t>Objective</w:t>
      </w:r>
      <w:r w:rsidRPr="004667A2">
        <w:rPr>
          <w:rFonts w:ascii="Book Antiqua" w:hAnsi="Book Antiqua" w:cstheme="minorBidi"/>
          <w:b/>
          <w:bCs/>
          <w:color w:val="auto"/>
          <w:sz w:val="22"/>
          <w:szCs w:val="22"/>
        </w:rPr>
        <w:t xml:space="preserve"> </w:t>
      </w:r>
    </w:p>
    <w:p w:rsidR="00C65DB5" w:rsidRPr="00C65DB5" w:rsidRDefault="00C65DB5" w:rsidP="00C65DB5">
      <w:pPr>
        <w:pStyle w:val="Default"/>
        <w:ind w:hanging="270"/>
        <w:jc w:val="both"/>
        <w:rPr>
          <w:rFonts w:ascii="Book Antiqua" w:hAnsi="Book Antiqua" w:cstheme="minorBidi"/>
          <w:b/>
          <w:bCs/>
          <w:color w:val="auto"/>
          <w:sz w:val="22"/>
          <w:szCs w:val="22"/>
        </w:rPr>
      </w:pPr>
    </w:p>
    <w:p w:rsidR="00C761A5" w:rsidRDefault="00A4320A" w:rsidP="00C65DB5">
      <w:pPr>
        <w:jc w:val="both"/>
        <w:rPr>
          <w:rFonts w:ascii="Book Antiqua" w:hAnsi="Book Antiqua"/>
        </w:rPr>
      </w:pPr>
      <w:r>
        <w:rPr>
          <w:rFonts w:ascii="Book Antiqua" w:hAnsi="Book Antiqua"/>
        </w:rPr>
        <w:t>As per regulation 30 of</w:t>
      </w:r>
      <w:r w:rsidRPr="00A4320A">
        <w:rPr>
          <w:rFonts w:ascii="Book Antiqua" w:hAnsi="Book Antiqua"/>
        </w:rPr>
        <w:t xml:space="preserve"> </w:t>
      </w:r>
      <w:r w:rsidRPr="00C03A75">
        <w:rPr>
          <w:rFonts w:ascii="Book Antiqua" w:hAnsi="Book Antiqua"/>
        </w:rPr>
        <w:t xml:space="preserve">Listing Regulations, </w:t>
      </w:r>
      <w:r>
        <w:rPr>
          <w:rFonts w:ascii="Book Antiqua" w:hAnsi="Book Antiqua"/>
        </w:rPr>
        <w:t xml:space="preserve">Every Listed Company shall frame a policy for determination of materiality of events </w:t>
      </w:r>
      <w:r w:rsidR="00D926FD">
        <w:rPr>
          <w:rFonts w:ascii="Book Antiqua" w:hAnsi="Book Antiqua"/>
        </w:rPr>
        <w:t>based on the criteria specified in the regulation.</w:t>
      </w:r>
    </w:p>
    <w:p w:rsidR="00C65DB5" w:rsidRPr="00503E7A" w:rsidRDefault="00C65DB5" w:rsidP="00170F6B">
      <w:pPr>
        <w:jc w:val="both"/>
        <w:rPr>
          <w:rFonts w:ascii="Book Antiqua" w:hAnsi="Book Antiqua"/>
          <w:bCs/>
        </w:rPr>
      </w:pPr>
    </w:p>
    <w:p w:rsidR="002A71FF" w:rsidRDefault="004554A1" w:rsidP="00C65DB5">
      <w:pPr>
        <w:ind w:hanging="270"/>
        <w:jc w:val="both"/>
        <w:rPr>
          <w:rFonts w:ascii="Book Antiqua" w:hAnsi="Book Antiqua"/>
        </w:rPr>
      </w:pPr>
      <w:r>
        <w:rPr>
          <w:rFonts w:ascii="Book Antiqua" w:hAnsi="Book Antiqua"/>
        </w:rPr>
        <w:t>3</w:t>
      </w:r>
      <w:r w:rsidR="000F230D">
        <w:rPr>
          <w:rFonts w:ascii="Book Antiqua" w:hAnsi="Book Antiqua"/>
        </w:rPr>
        <w:t xml:space="preserve">. </w:t>
      </w:r>
      <w:r w:rsidR="000F230D" w:rsidRPr="000F230D">
        <w:rPr>
          <w:rFonts w:ascii="Book Antiqua" w:hAnsi="Book Antiqua"/>
          <w:b/>
          <w:u w:val="single"/>
        </w:rPr>
        <w:t>Policy:</w:t>
      </w:r>
    </w:p>
    <w:p w:rsidR="005042F0" w:rsidRDefault="004554A1" w:rsidP="00C65DB5">
      <w:pPr>
        <w:ind w:hanging="270"/>
        <w:jc w:val="both"/>
        <w:rPr>
          <w:rFonts w:ascii="Book Antiqua" w:hAnsi="Book Antiqua"/>
        </w:rPr>
      </w:pPr>
      <w:r>
        <w:rPr>
          <w:rFonts w:ascii="Book Antiqua" w:hAnsi="Book Antiqua"/>
        </w:rPr>
        <w:t>3</w:t>
      </w:r>
      <w:r w:rsidR="00E87924">
        <w:rPr>
          <w:rFonts w:ascii="Book Antiqua" w:hAnsi="Book Antiqua"/>
        </w:rPr>
        <w:t>.1</w:t>
      </w:r>
      <w:r w:rsidR="002A71FF" w:rsidRPr="002A71FF">
        <w:rPr>
          <w:rFonts w:ascii="Book Antiqua" w:hAnsi="Book Antiqua"/>
        </w:rPr>
        <w:t xml:space="preserve"> </w:t>
      </w:r>
      <w:r w:rsidR="00251548">
        <w:rPr>
          <w:rFonts w:ascii="Book Antiqua" w:hAnsi="Book Antiqua"/>
        </w:rPr>
        <w:t>T</w:t>
      </w:r>
      <w:r w:rsidR="00D926FD">
        <w:rPr>
          <w:rFonts w:ascii="Book Antiqua" w:hAnsi="Book Antiqua"/>
        </w:rPr>
        <w:t xml:space="preserve">he Board appoints </w:t>
      </w:r>
      <w:proofErr w:type="gramStart"/>
      <w:r w:rsidR="00D926FD">
        <w:rPr>
          <w:rFonts w:ascii="Book Antiqua" w:hAnsi="Book Antiqua"/>
        </w:rPr>
        <w:t>t</w:t>
      </w:r>
      <w:r w:rsidR="007C21D8">
        <w:rPr>
          <w:rFonts w:ascii="Book Antiqua" w:hAnsi="Book Antiqua"/>
        </w:rPr>
        <w:t xml:space="preserve">he </w:t>
      </w:r>
      <w:r w:rsidR="002A71FF" w:rsidRPr="002A71FF">
        <w:rPr>
          <w:rFonts w:ascii="Book Antiqua" w:hAnsi="Book Antiqua"/>
        </w:rPr>
        <w:t xml:space="preserve"> </w:t>
      </w:r>
      <w:r w:rsidR="002A71FF">
        <w:rPr>
          <w:rFonts w:ascii="Book Antiqua" w:hAnsi="Book Antiqua"/>
        </w:rPr>
        <w:t>Chief</w:t>
      </w:r>
      <w:proofErr w:type="gramEnd"/>
      <w:r w:rsidR="002A71FF">
        <w:rPr>
          <w:rFonts w:ascii="Book Antiqua" w:hAnsi="Book Antiqua"/>
        </w:rPr>
        <w:t xml:space="preserve"> Executive Officer, Chief Financial officer</w:t>
      </w:r>
      <w:r w:rsidR="002A71FF" w:rsidRPr="002A71FF">
        <w:rPr>
          <w:rFonts w:ascii="Book Antiqua" w:hAnsi="Book Antiqua"/>
        </w:rPr>
        <w:t xml:space="preserve"> and the C</w:t>
      </w:r>
      <w:r w:rsidR="002A71FF">
        <w:rPr>
          <w:rFonts w:ascii="Book Antiqua" w:hAnsi="Book Antiqua"/>
        </w:rPr>
        <w:t>ompany Secretary of the Company</w:t>
      </w:r>
      <w:r w:rsidR="002A71FF" w:rsidRPr="002A71FF">
        <w:rPr>
          <w:rFonts w:ascii="Book Antiqua" w:hAnsi="Book Antiqua"/>
        </w:rPr>
        <w:t xml:space="preserve"> </w:t>
      </w:r>
      <w:r w:rsidR="0072043A">
        <w:rPr>
          <w:rFonts w:ascii="Book Antiqua" w:hAnsi="Book Antiqua"/>
        </w:rPr>
        <w:t>(</w:t>
      </w:r>
      <w:r w:rsidR="0072043A" w:rsidRPr="0072043A">
        <w:rPr>
          <w:rFonts w:ascii="Book Antiqua" w:hAnsi="Book Antiqua"/>
          <w:b/>
        </w:rPr>
        <w:t>here in after referred as Designated Officer</w:t>
      </w:r>
      <w:r w:rsidR="007C21D8">
        <w:rPr>
          <w:rFonts w:ascii="Book Antiqua" w:hAnsi="Book Antiqua"/>
          <w:b/>
        </w:rPr>
        <w:t>s</w:t>
      </w:r>
      <w:r w:rsidR="0072043A">
        <w:rPr>
          <w:rFonts w:ascii="Book Antiqua" w:hAnsi="Book Antiqua"/>
        </w:rPr>
        <w:t xml:space="preserve">) </w:t>
      </w:r>
      <w:r w:rsidR="002A71FF" w:rsidRPr="002A71FF">
        <w:rPr>
          <w:rFonts w:ascii="Book Antiqua" w:hAnsi="Book Antiqua"/>
        </w:rPr>
        <w:t xml:space="preserve"> </w:t>
      </w:r>
      <w:r w:rsidR="00D926FD">
        <w:rPr>
          <w:rFonts w:ascii="Book Antiqua" w:hAnsi="Book Antiqua"/>
        </w:rPr>
        <w:t xml:space="preserve">as the persons </w:t>
      </w:r>
      <w:r w:rsidR="002A71FF">
        <w:rPr>
          <w:rFonts w:ascii="Book Antiqua" w:hAnsi="Book Antiqua"/>
        </w:rPr>
        <w:t xml:space="preserve">authorized </w:t>
      </w:r>
      <w:r w:rsidR="002A71FF" w:rsidRPr="002A71FF">
        <w:rPr>
          <w:rFonts w:ascii="Book Antiqua" w:hAnsi="Book Antiqua"/>
        </w:rPr>
        <w:t xml:space="preserve">to determine the materiality of </w:t>
      </w:r>
      <w:r w:rsidR="002A71FF">
        <w:rPr>
          <w:rFonts w:ascii="Book Antiqua" w:hAnsi="Book Antiqua"/>
        </w:rPr>
        <w:t>Events, classify it as a Material Event</w:t>
      </w:r>
      <w:r w:rsidR="002A71FF" w:rsidRPr="002A71FF">
        <w:rPr>
          <w:rFonts w:ascii="Book Antiqua" w:hAnsi="Book Antiqua"/>
        </w:rPr>
        <w:t>, decide the appropriate time at which disclosure</w:t>
      </w:r>
      <w:r w:rsidR="002A71FF">
        <w:rPr>
          <w:rFonts w:ascii="Book Antiqua" w:hAnsi="Book Antiqua"/>
        </w:rPr>
        <w:t xml:space="preserve"> of information regarding Material Event</w:t>
      </w:r>
      <w:r w:rsidR="002A71FF" w:rsidRPr="002A71FF">
        <w:rPr>
          <w:rFonts w:ascii="Book Antiqua" w:hAnsi="Book Antiqua"/>
        </w:rPr>
        <w:t xml:space="preserve"> </w:t>
      </w:r>
      <w:r w:rsidR="007C21D8">
        <w:rPr>
          <w:rFonts w:ascii="Book Antiqua" w:hAnsi="Book Antiqua"/>
        </w:rPr>
        <w:t xml:space="preserve">is </w:t>
      </w:r>
      <w:r w:rsidR="002A71FF" w:rsidRPr="002A71FF">
        <w:rPr>
          <w:rFonts w:ascii="Book Antiqua" w:hAnsi="Book Antiqua"/>
        </w:rPr>
        <w:t xml:space="preserve">to be filed with the stock exchanges and details that may be filed </w:t>
      </w:r>
      <w:r w:rsidR="00D926FD">
        <w:rPr>
          <w:rFonts w:ascii="Book Antiqua" w:hAnsi="Book Antiqua"/>
        </w:rPr>
        <w:t xml:space="preserve">with the stock exchanges. </w:t>
      </w:r>
    </w:p>
    <w:p w:rsidR="00D50F22" w:rsidRPr="001C28EC" w:rsidRDefault="00D50F22" w:rsidP="001C28EC">
      <w:pPr>
        <w:pStyle w:val="ListParagraph"/>
        <w:ind w:left="360"/>
        <w:jc w:val="both"/>
        <w:rPr>
          <w:rFonts w:ascii="Book Antiqua" w:hAnsi="Book Antiqua"/>
        </w:rPr>
      </w:pPr>
    </w:p>
    <w:p w:rsidR="005042F0" w:rsidRDefault="004554A1" w:rsidP="00C65DB5">
      <w:pPr>
        <w:ind w:hanging="270"/>
        <w:jc w:val="both"/>
        <w:rPr>
          <w:rFonts w:ascii="Book Antiqua" w:hAnsi="Book Antiqua"/>
        </w:rPr>
      </w:pPr>
      <w:r>
        <w:rPr>
          <w:rFonts w:ascii="Book Antiqua" w:hAnsi="Book Antiqua"/>
        </w:rPr>
        <w:t>3</w:t>
      </w:r>
      <w:r w:rsidR="00E87924">
        <w:rPr>
          <w:rFonts w:ascii="Book Antiqua" w:hAnsi="Book Antiqua"/>
        </w:rPr>
        <w:t xml:space="preserve">.2 </w:t>
      </w:r>
      <w:r w:rsidR="0030220C">
        <w:rPr>
          <w:rFonts w:ascii="Book Antiqua" w:hAnsi="Book Antiqua"/>
        </w:rPr>
        <w:t>Certain events</w:t>
      </w:r>
      <w:r w:rsidR="005042F0" w:rsidRPr="005042F0">
        <w:rPr>
          <w:rFonts w:ascii="Book Antiqua" w:hAnsi="Book Antiqua"/>
        </w:rPr>
        <w:t xml:space="preserve"> would be </w:t>
      </w:r>
      <w:r w:rsidR="007C21D8">
        <w:rPr>
          <w:rFonts w:ascii="Book Antiqua" w:hAnsi="Book Antiqua"/>
          <w:i/>
          <w:iCs/>
        </w:rPr>
        <w:t>deemed to be</w:t>
      </w:r>
      <w:r w:rsidR="005042F0" w:rsidRPr="005042F0">
        <w:rPr>
          <w:rFonts w:ascii="Book Antiqua" w:hAnsi="Book Antiqua"/>
          <w:i/>
          <w:iCs/>
        </w:rPr>
        <w:t xml:space="preserve"> </w:t>
      </w:r>
      <w:r w:rsidR="0030220C">
        <w:rPr>
          <w:rFonts w:ascii="Book Antiqua" w:hAnsi="Book Antiqua"/>
        </w:rPr>
        <w:t>Material events</w:t>
      </w:r>
      <w:r w:rsidR="005042F0">
        <w:rPr>
          <w:rFonts w:ascii="Book Antiqua" w:hAnsi="Book Antiqua"/>
        </w:rPr>
        <w:t xml:space="preserve"> as stated in Para </w:t>
      </w:r>
      <w:proofErr w:type="gramStart"/>
      <w:r w:rsidR="005042F0">
        <w:rPr>
          <w:rFonts w:ascii="Book Antiqua" w:hAnsi="Book Antiqua"/>
        </w:rPr>
        <w:t>A of Part A</w:t>
      </w:r>
      <w:proofErr w:type="gramEnd"/>
      <w:r w:rsidR="005042F0">
        <w:rPr>
          <w:rFonts w:ascii="Book Antiqua" w:hAnsi="Book Antiqua"/>
        </w:rPr>
        <w:t xml:space="preserve"> of Schedule III of </w:t>
      </w:r>
      <w:r w:rsidR="00AB7D78" w:rsidRPr="00C03A75">
        <w:rPr>
          <w:rFonts w:ascii="Book Antiqua" w:hAnsi="Book Antiqua"/>
        </w:rPr>
        <w:t>Listing Regulations</w:t>
      </w:r>
      <w:r w:rsidR="007C21D8">
        <w:rPr>
          <w:rFonts w:ascii="Book Antiqua" w:hAnsi="Book Antiqua"/>
        </w:rPr>
        <w:t xml:space="preserve"> which are annexed to the policy</w:t>
      </w:r>
      <w:r w:rsidR="00D926FD">
        <w:rPr>
          <w:rFonts w:ascii="Book Antiqua" w:hAnsi="Book Antiqua"/>
        </w:rPr>
        <w:t xml:space="preserve"> as Annexure A.</w:t>
      </w:r>
    </w:p>
    <w:p w:rsidR="003044D0" w:rsidRDefault="004554A1" w:rsidP="00C65DB5">
      <w:pPr>
        <w:ind w:left="90" w:hanging="360"/>
        <w:jc w:val="both"/>
        <w:rPr>
          <w:rFonts w:ascii="Book Antiqua" w:hAnsi="Book Antiqua"/>
        </w:rPr>
      </w:pPr>
      <w:r>
        <w:rPr>
          <w:rFonts w:ascii="Book Antiqua" w:hAnsi="Book Antiqua"/>
        </w:rPr>
        <w:t>3</w:t>
      </w:r>
      <w:r w:rsidR="00E87924">
        <w:rPr>
          <w:rFonts w:ascii="Book Antiqua" w:hAnsi="Book Antiqua"/>
        </w:rPr>
        <w:t>.3</w:t>
      </w:r>
      <w:r w:rsidR="003044D0">
        <w:rPr>
          <w:rFonts w:ascii="Book Antiqua" w:hAnsi="Book Antiqua"/>
        </w:rPr>
        <w:t xml:space="preserve"> </w:t>
      </w:r>
      <w:r w:rsidR="003044D0" w:rsidRPr="003044D0">
        <w:rPr>
          <w:rFonts w:ascii="Book Antiqua" w:hAnsi="Book Antiqua"/>
        </w:rPr>
        <w:t xml:space="preserve">Besides </w:t>
      </w:r>
      <w:r w:rsidR="007C21D8">
        <w:rPr>
          <w:rFonts w:ascii="Book Antiqua" w:hAnsi="Book Antiqua"/>
          <w:i/>
          <w:iCs/>
        </w:rPr>
        <w:t>deemed</w:t>
      </w:r>
      <w:r w:rsidR="003044D0" w:rsidRPr="003044D0">
        <w:rPr>
          <w:rFonts w:ascii="Book Antiqua" w:hAnsi="Book Antiqua"/>
          <w:i/>
          <w:iCs/>
        </w:rPr>
        <w:t xml:space="preserve"> </w:t>
      </w:r>
      <w:r w:rsidR="0030220C">
        <w:rPr>
          <w:rFonts w:ascii="Book Antiqua" w:hAnsi="Book Antiqua"/>
        </w:rPr>
        <w:t>Material event</w:t>
      </w:r>
      <w:r w:rsidR="003044D0" w:rsidRPr="003044D0">
        <w:rPr>
          <w:rFonts w:ascii="Book Antiqua" w:hAnsi="Book Antiqua"/>
        </w:rPr>
        <w:t>, an event/information</w:t>
      </w:r>
      <w:r w:rsidR="007C21D8">
        <w:rPr>
          <w:rFonts w:ascii="Book Antiqua" w:hAnsi="Book Antiqua"/>
        </w:rPr>
        <w:t xml:space="preserve"> as </w:t>
      </w:r>
      <w:r w:rsidR="004B45EE">
        <w:rPr>
          <w:rFonts w:ascii="Book Antiqua" w:hAnsi="Book Antiqua"/>
        </w:rPr>
        <w:t>specified</w:t>
      </w:r>
      <w:r w:rsidR="007C21D8">
        <w:rPr>
          <w:rFonts w:ascii="Book Antiqua" w:hAnsi="Book Antiqua"/>
        </w:rPr>
        <w:t xml:space="preserve"> in Para B of Part A of Schedule III</w:t>
      </w:r>
      <w:r w:rsidR="003044D0" w:rsidRPr="003044D0">
        <w:rPr>
          <w:rFonts w:ascii="Book Antiqua" w:hAnsi="Book Antiqua"/>
        </w:rPr>
        <w:t xml:space="preserve">, </w:t>
      </w:r>
      <w:r w:rsidR="00576309">
        <w:rPr>
          <w:rFonts w:ascii="Book Antiqua" w:hAnsi="Book Antiqua"/>
        </w:rPr>
        <w:t>as annexed to the policy</w:t>
      </w:r>
      <w:r w:rsidR="00D926FD">
        <w:rPr>
          <w:rFonts w:ascii="Book Antiqua" w:hAnsi="Book Antiqua"/>
        </w:rPr>
        <w:t xml:space="preserve"> as Annexure B</w:t>
      </w:r>
      <w:r w:rsidR="00576309">
        <w:rPr>
          <w:rFonts w:ascii="Book Antiqua" w:hAnsi="Book Antiqua"/>
        </w:rPr>
        <w:t xml:space="preserve">, </w:t>
      </w:r>
      <w:r w:rsidR="003044D0" w:rsidRPr="003044D0">
        <w:rPr>
          <w:rFonts w:ascii="Book Antiqua" w:hAnsi="Book Antiqua"/>
        </w:rPr>
        <w:t>would be de</w:t>
      </w:r>
      <w:r w:rsidR="003044D0">
        <w:rPr>
          <w:rFonts w:ascii="Book Antiqua" w:hAnsi="Book Antiqua"/>
        </w:rPr>
        <w:t xml:space="preserve">emed as Material </w:t>
      </w:r>
      <w:r w:rsidR="0030220C">
        <w:rPr>
          <w:rFonts w:ascii="Book Antiqua" w:hAnsi="Book Antiqua"/>
        </w:rPr>
        <w:t xml:space="preserve">event </w:t>
      </w:r>
      <w:r w:rsidR="004B45EE">
        <w:rPr>
          <w:rFonts w:ascii="Book Antiqua" w:hAnsi="Book Antiqua"/>
        </w:rPr>
        <w:t>applying the following guidelines</w:t>
      </w:r>
      <w:r w:rsidR="003044D0" w:rsidRPr="003044D0">
        <w:rPr>
          <w:rFonts w:ascii="Book Antiqua" w:hAnsi="Book Antiqua"/>
        </w:rPr>
        <w:t>:</w:t>
      </w:r>
    </w:p>
    <w:p w:rsidR="003044D0" w:rsidRPr="003044D0" w:rsidRDefault="003514AB" w:rsidP="00C65DB5">
      <w:pPr>
        <w:ind w:left="-270"/>
        <w:jc w:val="both"/>
        <w:rPr>
          <w:rFonts w:ascii="Book Antiqua" w:hAnsi="Book Antiqua"/>
        </w:rPr>
      </w:pPr>
      <w:r>
        <w:rPr>
          <w:rFonts w:ascii="Book Antiqua" w:hAnsi="Book Antiqua"/>
        </w:rPr>
        <w:t xml:space="preserve">   </w:t>
      </w:r>
      <w:r w:rsidR="00983AF7" w:rsidRPr="00983AF7">
        <w:rPr>
          <w:rFonts w:ascii="Book Antiqua" w:hAnsi="Book Antiqua"/>
        </w:rPr>
        <w:t>(a)</w:t>
      </w:r>
      <w:r w:rsidR="00983AF7">
        <w:rPr>
          <w:rFonts w:ascii="Book Antiqua" w:hAnsi="Book Antiqua"/>
        </w:rPr>
        <w:t xml:space="preserve"> </w:t>
      </w:r>
      <w:proofErr w:type="gramStart"/>
      <w:r w:rsidR="00983AF7" w:rsidRPr="00983AF7">
        <w:rPr>
          <w:rFonts w:ascii="Book Antiqua" w:hAnsi="Book Antiqua"/>
        </w:rPr>
        <w:t>the</w:t>
      </w:r>
      <w:proofErr w:type="gramEnd"/>
      <w:r w:rsidR="00983AF7" w:rsidRPr="00983AF7">
        <w:rPr>
          <w:rFonts w:ascii="Book Antiqua" w:hAnsi="Book Antiqua"/>
        </w:rPr>
        <w:t xml:space="preserve"> omission of an event or information, whic</w:t>
      </w:r>
      <w:bookmarkStart w:id="0" w:name="_GoBack"/>
      <w:bookmarkEnd w:id="0"/>
      <w:r w:rsidR="00983AF7" w:rsidRPr="00983AF7">
        <w:rPr>
          <w:rFonts w:ascii="Book Antiqua" w:hAnsi="Book Antiqua"/>
        </w:rPr>
        <w:t>h is likely to result in</w:t>
      </w:r>
      <w:r w:rsidR="00983AF7">
        <w:rPr>
          <w:rFonts w:ascii="Book Antiqua" w:hAnsi="Book Antiqua"/>
        </w:rPr>
        <w:t xml:space="preserve"> </w:t>
      </w:r>
      <w:r w:rsidR="00983AF7" w:rsidRPr="00983AF7">
        <w:rPr>
          <w:rFonts w:ascii="Book Antiqua" w:hAnsi="Book Antiqua"/>
        </w:rPr>
        <w:t xml:space="preserve">discontinuity or alteration </w:t>
      </w:r>
      <w:r w:rsidR="00C65DB5">
        <w:rPr>
          <w:rFonts w:ascii="Book Antiqua" w:hAnsi="Book Antiqua"/>
        </w:rPr>
        <w:tab/>
        <w:t xml:space="preserve">     </w:t>
      </w:r>
      <w:r>
        <w:rPr>
          <w:rFonts w:ascii="Book Antiqua" w:hAnsi="Book Antiqua"/>
        </w:rPr>
        <w:t xml:space="preserve"> </w:t>
      </w:r>
      <w:r>
        <w:rPr>
          <w:rFonts w:ascii="Book Antiqua" w:hAnsi="Book Antiqua"/>
        </w:rPr>
        <w:tab/>
        <w:t xml:space="preserve">    </w:t>
      </w:r>
      <w:r w:rsidR="00983AF7" w:rsidRPr="00983AF7">
        <w:rPr>
          <w:rFonts w:ascii="Book Antiqua" w:hAnsi="Book Antiqua"/>
        </w:rPr>
        <w:t>of event or information already available</w:t>
      </w:r>
      <w:r w:rsidR="00983AF7">
        <w:rPr>
          <w:rFonts w:ascii="Book Antiqua" w:hAnsi="Book Antiqua"/>
        </w:rPr>
        <w:t xml:space="preserve"> </w:t>
      </w:r>
      <w:r w:rsidR="00983AF7" w:rsidRPr="00983AF7">
        <w:rPr>
          <w:rFonts w:ascii="Book Antiqua" w:hAnsi="Book Antiqua"/>
        </w:rPr>
        <w:t>publicly; or</w:t>
      </w:r>
    </w:p>
    <w:p w:rsidR="007F2329" w:rsidRDefault="007F2329" w:rsidP="00C65DB5">
      <w:pPr>
        <w:ind w:left="165" w:hanging="255"/>
        <w:jc w:val="both"/>
        <w:rPr>
          <w:rFonts w:ascii="Book Antiqua" w:hAnsi="Book Antiqua"/>
        </w:rPr>
      </w:pPr>
      <w:r>
        <w:rPr>
          <w:rFonts w:ascii="Book Antiqua" w:hAnsi="Book Antiqua"/>
        </w:rPr>
        <w:t xml:space="preserve">(b) </w:t>
      </w:r>
      <w:proofErr w:type="gramStart"/>
      <w:r w:rsidRPr="007F2329">
        <w:rPr>
          <w:rFonts w:ascii="Book Antiqua" w:hAnsi="Book Antiqua"/>
        </w:rPr>
        <w:t>the</w:t>
      </w:r>
      <w:proofErr w:type="gramEnd"/>
      <w:r w:rsidRPr="007F2329">
        <w:rPr>
          <w:rFonts w:ascii="Book Antiqua" w:hAnsi="Book Antiqua"/>
        </w:rPr>
        <w:t xml:space="preserve"> omission of an event or inf</w:t>
      </w:r>
      <w:r>
        <w:rPr>
          <w:rFonts w:ascii="Book Antiqua" w:hAnsi="Book Antiqua"/>
        </w:rPr>
        <w:t xml:space="preserve">ormation is likely to result in </w:t>
      </w:r>
      <w:r w:rsidRPr="007F2329">
        <w:rPr>
          <w:rFonts w:ascii="Book Antiqua" w:hAnsi="Book Antiqua"/>
        </w:rPr>
        <w:t xml:space="preserve">significant market reaction if the </w:t>
      </w:r>
      <w:r w:rsidR="00C65DB5">
        <w:rPr>
          <w:rFonts w:ascii="Book Antiqua" w:hAnsi="Book Antiqua"/>
        </w:rPr>
        <w:t xml:space="preserve">        </w:t>
      </w:r>
      <w:r w:rsidRPr="007F2329">
        <w:rPr>
          <w:rFonts w:ascii="Book Antiqua" w:hAnsi="Book Antiqua"/>
        </w:rPr>
        <w:t>said omission came to light at a</w:t>
      </w:r>
      <w:r>
        <w:rPr>
          <w:rFonts w:ascii="Book Antiqua" w:hAnsi="Book Antiqua"/>
        </w:rPr>
        <w:t xml:space="preserve"> </w:t>
      </w:r>
      <w:r w:rsidRPr="007F2329">
        <w:rPr>
          <w:rFonts w:ascii="Book Antiqua" w:hAnsi="Book Antiqua"/>
        </w:rPr>
        <w:t>later date;</w:t>
      </w:r>
    </w:p>
    <w:p w:rsidR="004B45EE" w:rsidRDefault="004B45EE" w:rsidP="0002799E">
      <w:pPr>
        <w:autoSpaceDE w:val="0"/>
        <w:autoSpaceDN w:val="0"/>
        <w:adjustRightInd w:val="0"/>
        <w:spacing w:after="0" w:line="240" w:lineRule="auto"/>
        <w:jc w:val="both"/>
        <w:rPr>
          <w:rFonts w:ascii="Book Antiqua" w:hAnsi="Book Antiqua"/>
        </w:rPr>
      </w:pPr>
      <w:r w:rsidRPr="0002799E">
        <w:rPr>
          <w:rFonts w:ascii="Book Antiqua" w:hAnsi="Book Antiqua"/>
        </w:rPr>
        <w:t>( c ) In case where the criteria specified in sub-clauses (a) and (b) are not applicable, an event/information may be treated as being material if in the opinion of the board of directors of listed entity, the event / information is considered material</w:t>
      </w:r>
      <w:r w:rsidR="0008000E">
        <w:rPr>
          <w:rFonts w:ascii="Book Antiqua" w:hAnsi="Book Antiqua"/>
        </w:rPr>
        <w:t>.</w:t>
      </w:r>
    </w:p>
    <w:p w:rsidR="0008000E" w:rsidRDefault="0008000E" w:rsidP="0002799E">
      <w:pPr>
        <w:autoSpaceDE w:val="0"/>
        <w:autoSpaceDN w:val="0"/>
        <w:adjustRightInd w:val="0"/>
        <w:spacing w:after="0" w:line="240" w:lineRule="auto"/>
        <w:jc w:val="both"/>
        <w:rPr>
          <w:rFonts w:ascii="Book Antiqua" w:hAnsi="Book Antiqua"/>
        </w:rPr>
      </w:pPr>
    </w:p>
    <w:p w:rsidR="00842762" w:rsidRPr="003E57BB" w:rsidRDefault="00842762" w:rsidP="00842762">
      <w:pPr>
        <w:autoSpaceDE w:val="0"/>
        <w:autoSpaceDN w:val="0"/>
        <w:adjustRightInd w:val="0"/>
        <w:spacing w:before="120" w:after="120"/>
        <w:jc w:val="both"/>
        <w:rPr>
          <w:rFonts w:ascii="Book Antiqua" w:eastAsia="Times New Roman" w:hAnsi="Book Antiqua" w:cs="Arial"/>
        </w:rPr>
      </w:pPr>
      <w:r w:rsidRPr="003E57BB">
        <w:rPr>
          <w:rFonts w:ascii="Book Antiqua" w:eastAsia="Times New Roman" w:hAnsi="Book Antiqua" w:cs="Arial"/>
        </w:rPr>
        <w:lastRenderedPageBreak/>
        <w:t>Materiality would be determined on a case to case basis depending on facts and circumstances</w:t>
      </w:r>
      <w:r>
        <w:rPr>
          <w:rFonts w:ascii="Book Antiqua" w:eastAsia="Times New Roman" w:hAnsi="Book Antiqua" w:cs="Arial"/>
        </w:rPr>
        <w:t xml:space="preserve"> and the following </w:t>
      </w:r>
      <w:r w:rsidRPr="00A639EE">
        <w:rPr>
          <w:rFonts w:ascii="Book Antiqua" w:eastAsia="Times New Roman" w:hAnsi="Book Antiqua" w:cs="Arial"/>
        </w:rPr>
        <w:t>criteria may be applied for the materiality assessment of any information</w:t>
      </w:r>
      <w:r>
        <w:rPr>
          <w:rFonts w:ascii="Book Antiqua" w:eastAsia="Times New Roman" w:hAnsi="Book Antiqua" w:cs="Arial"/>
        </w:rPr>
        <w:t xml:space="preserve"> / event</w:t>
      </w:r>
      <w:r w:rsidRPr="003E57BB">
        <w:rPr>
          <w:rFonts w:ascii="Book Antiqua" w:eastAsia="Times New Roman" w:hAnsi="Book Antiqua" w:cs="Arial"/>
        </w:rPr>
        <w:t xml:space="preserve">. </w:t>
      </w:r>
    </w:p>
    <w:p w:rsidR="00065A8C" w:rsidRPr="003E57BB" w:rsidRDefault="00065A8C" w:rsidP="00842762">
      <w:pPr>
        <w:pStyle w:val="ListParagraph"/>
        <w:numPr>
          <w:ilvl w:val="0"/>
          <w:numId w:val="2"/>
        </w:numPr>
        <w:autoSpaceDE w:val="0"/>
        <w:autoSpaceDN w:val="0"/>
        <w:adjustRightInd w:val="0"/>
        <w:spacing w:before="120" w:after="120"/>
        <w:jc w:val="both"/>
        <w:rPr>
          <w:rFonts w:ascii="Book Antiqua" w:eastAsia="Times New Roman" w:hAnsi="Book Antiqua" w:cs="Arial"/>
        </w:rPr>
      </w:pPr>
      <w:r>
        <w:rPr>
          <w:rFonts w:ascii="Book Antiqua" w:eastAsia="Times New Roman" w:hAnsi="Book Antiqua" w:cs="Arial"/>
        </w:rPr>
        <w:t>Whether the transaction is an entry / exit in a significant line of business</w:t>
      </w:r>
      <w:r w:rsidR="000A52C4">
        <w:rPr>
          <w:rFonts w:ascii="Book Antiqua" w:eastAsia="Times New Roman" w:hAnsi="Book Antiqua" w:cs="Arial"/>
        </w:rPr>
        <w:t>;</w:t>
      </w:r>
    </w:p>
    <w:p w:rsidR="00842762" w:rsidRPr="003E57BB" w:rsidRDefault="00842762" w:rsidP="00842762">
      <w:pPr>
        <w:pStyle w:val="ListParagraph"/>
        <w:numPr>
          <w:ilvl w:val="0"/>
          <w:numId w:val="2"/>
        </w:numPr>
        <w:autoSpaceDE w:val="0"/>
        <w:autoSpaceDN w:val="0"/>
        <w:adjustRightInd w:val="0"/>
        <w:spacing w:before="120" w:after="120"/>
        <w:jc w:val="both"/>
        <w:rPr>
          <w:rFonts w:ascii="Book Antiqua" w:eastAsia="Times New Roman" w:hAnsi="Book Antiqua" w:cs="Arial"/>
        </w:rPr>
      </w:pPr>
      <w:r w:rsidRPr="003E57BB">
        <w:rPr>
          <w:rFonts w:ascii="Book Antiqua" w:eastAsia="Times New Roman" w:hAnsi="Book Antiqua" w:cs="Arial"/>
        </w:rPr>
        <w:t>The amount involved in the transaction as a percentage of profit / revenue / total assets whichever is relevant;</w:t>
      </w:r>
    </w:p>
    <w:p w:rsidR="00842762" w:rsidRPr="001C28EC" w:rsidRDefault="00842762" w:rsidP="00842762">
      <w:pPr>
        <w:pStyle w:val="ListParagraph"/>
        <w:numPr>
          <w:ilvl w:val="0"/>
          <w:numId w:val="2"/>
        </w:numPr>
        <w:jc w:val="both"/>
        <w:rPr>
          <w:rFonts w:ascii="Book Antiqua" w:hAnsi="Book Antiqua"/>
        </w:rPr>
      </w:pPr>
      <w:r w:rsidRPr="003E57BB">
        <w:rPr>
          <w:rFonts w:ascii="Book Antiqua" w:eastAsia="Times New Roman" w:hAnsi="Book Antiqua" w:cs="Arial"/>
        </w:rPr>
        <w:t>Nature of transaction like in the ordinary course of business or with related party</w:t>
      </w:r>
      <w:r w:rsidR="000A52C4">
        <w:rPr>
          <w:rFonts w:ascii="Book Antiqua" w:eastAsia="Times New Roman" w:hAnsi="Book Antiqua" w:cs="Arial"/>
        </w:rPr>
        <w:t>;</w:t>
      </w:r>
    </w:p>
    <w:p w:rsidR="00842762" w:rsidRDefault="00065A8C" w:rsidP="00842762">
      <w:pPr>
        <w:pStyle w:val="ListParagraph"/>
        <w:numPr>
          <w:ilvl w:val="0"/>
          <w:numId w:val="2"/>
        </w:numPr>
        <w:jc w:val="both"/>
        <w:rPr>
          <w:rFonts w:ascii="Book Antiqua" w:hAnsi="Book Antiqua"/>
        </w:rPr>
      </w:pPr>
      <w:r>
        <w:rPr>
          <w:rFonts w:ascii="Book Antiqua" w:hAnsi="Book Antiqua"/>
        </w:rPr>
        <w:t>Whether the transaction reflects a significant shift in the strategy of the company.</w:t>
      </w:r>
    </w:p>
    <w:p w:rsidR="00CB0B01" w:rsidRPr="00FD4140" w:rsidRDefault="00CB0B01" w:rsidP="0002799E">
      <w:pPr>
        <w:ind w:left="270" w:hanging="360"/>
        <w:jc w:val="both"/>
        <w:rPr>
          <w:rFonts w:ascii="Book Antiqua" w:hAnsi="Book Antiqua"/>
        </w:rPr>
      </w:pPr>
      <w:r w:rsidRPr="00CB0B01">
        <w:rPr>
          <w:rFonts w:ascii="Book Antiqua" w:hAnsi="Book Antiqua"/>
        </w:rPr>
        <w:t xml:space="preserve"> </w:t>
      </w:r>
    </w:p>
    <w:p w:rsidR="002B561F" w:rsidRDefault="002B561F" w:rsidP="007A491B">
      <w:pPr>
        <w:pStyle w:val="Default"/>
        <w:rPr>
          <w:rFonts w:ascii="Book Antiqua" w:hAnsi="Book Antiqua"/>
        </w:rPr>
      </w:pPr>
    </w:p>
    <w:p w:rsidR="002B561F" w:rsidRDefault="008226D2" w:rsidP="00C65DB5">
      <w:pPr>
        <w:ind w:hanging="270"/>
        <w:jc w:val="both"/>
        <w:rPr>
          <w:rFonts w:ascii="Book Antiqua" w:hAnsi="Book Antiqua"/>
          <w:b/>
          <w:bCs/>
          <w:u w:val="single"/>
        </w:rPr>
      </w:pPr>
      <w:r>
        <w:rPr>
          <w:rFonts w:ascii="Book Antiqua" w:hAnsi="Book Antiqua"/>
          <w:b/>
        </w:rPr>
        <w:t>4</w:t>
      </w:r>
      <w:r w:rsidR="002B561F" w:rsidRPr="002B561F">
        <w:rPr>
          <w:rFonts w:ascii="Book Antiqua" w:hAnsi="Book Antiqua"/>
          <w:b/>
        </w:rPr>
        <w:t xml:space="preserve">. </w:t>
      </w:r>
      <w:r w:rsidR="002B561F" w:rsidRPr="002B561F">
        <w:rPr>
          <w:rFonts w:ascii="Book Antiqua" w:hAnsi="Book Antiqua"/>
          <w:b/>
          <w:bCs/>
          <w:u w:val="single"/>
        </w:rPr>
        <w:t xml:space="preserve">Manner of </w:t>
      </w:r>
      <w:r w:rsidR="00493784" w:rsidRPr="002B561F">
        <w:rPr>
          <w:rFonts w:ascii="Book Antiqua" w:hAnsi="Book Antiqua"/>
          <w:b/>
          <w:bCs/>
          <w:u w:val="single"/>
        </w:rPr>
        <w:t>Disclosures:</w:t>
      </w:r>
    </w:p>
    <w:p w:rsidR="00170F6B" w:rsidRDefault="00E15ABB" w:rsidP="00170F6B">
      <w:pPr>
        <w:ind w:hanging="270"/>
        <w:jc w:val="both"/>
        <w:rPr>
          <w:rFonts w:ascii="Book Antiqua" w:hAnsi="Book Antiqua"/>
        </w:rPr>
      </w:pPr>
      <w:r>
        <w:rPr>
          <w:rFonts w:ascii="Book Antiqua" w:hAnsi="Book Antiqua"/>
        </w:rPr>
        <w:t xml:space="preserve">    The</w:t>
      </w:r>
      <w:r w:rsidRPr="00E15ABB">
        <w:rPr>
          <w:rFonts w:ascii="Book Antiqua" w:hAnsi="Book Antiqua"/>
        </w:rPr>
        <w:t xml:space="preserve"> disclosures </w:t>
      </w:r>
      <w:r>
        <w:rPr>
          <w:rFonts w:ascii="Book Antiqua" w:hAnsi="Book Antiqua"/>
        </w:rPr>
        <w:t xml:space="preserve">of material events </w:t>
      </w:r>
      <w:r w:rsidRPr="00E15ABB">
        <w:rPr>
          <w:rFonts w:ascii="Book Antiqua" w:hAnsi="Book Antiqua"/>
        </w:rPr>
        <w:t>under this Policy shall be disclosed</w:t>
      </w:r>
      <w:r>
        <w:rPr>
          <w:rFonts w:ascii="Book Antiqua" w:hAnsi="Book Antiqua"/>
        </w:rPr>
        <w:t xml:space="preserve"> to Stock Exchanges and uploaded on Company’s</w:t>
      </w:r>
      <w:r w:rsidR="00DE2EED">
        <w:rPr>
          <w:rFonts w:ascii="Book Antiqua" w:hAnsi="Book Antiqua"/>
        </w:rPr>
        <w:t xml:space="preserve"> website as prescribed under</w:t>
      </w:r>
      <w:r>
        <w:rPr>
          <w:rFonts w:ascii="Book Antiqua" w:hAnsi="Book Antiqua"/>
        </w:rPr>
        <w:t xml:space="preserve"> the </w:t>
      </w:r>
      <w:r w:rsidR="00AB7D78" w:rsidRPr="00C03A75">
        <w:rPr>
          <w:rFonts w:ascii="Book Antiqua" w:hAnsi="Book Antiqua"/>
        </w:rPr>
        <w:t>Listing Regulations</w:t>
      </w:r>
      <w:r w:rsidR="004B45EE">
        <w:rPr>
          <w:rFonts w:ascii="Book Antiqua" w:hAnsi="Book Antiqua"/>
        </w:rPr>
        <w:t xml:space="preserve"> and within the timelines as </w:t>
      </w:r>
      <w:r w:rsidR="00EC3037">
        <w:rPr>
          <w:rFonts w:ascii="Book Antiqua" w:hAnsi="Book Antiqua"/>
        </w:rPr>
        <w:t>prescribed</w:t>
      </w:r>
      <w:r w:rsidR="004B45EE">
        <w:rPr>
          <w:rFonts w:ascii="Book Antiqua" w:hAnsi="Book Antiqua"/>
        </w:rPr>
        <w:t xml:space="preserve"> under the listing regulations. </w:t>
      </w:r>
      <w:r>
        <w:rPr>
          <w:rFonts w:ascii="Book Antiqua" w:hAnsi="Book Antiqua"/>
        </w:rPr>
        <w:t>.</w:t>
      </w:r>
    </w:p>
    <w:p w:rsidR="0008000E" w:rsidRDefault="0008000E" w:rsidP="00C65DB5">
      <w:pPr>
        <w:ind w:hanging="270"/>
        <w:jc w:val="both"/>
        <w:rPr>
          <w:rFonts w:ascii="Book Antiqua" w:hAnsi="Book Antiqua"/>
          <w:b/>
        </w:rPr>
      </w:pPr>
    </w:p>
    <w:p w:rsidR="00910DBB" w:rsidRDefault="006A78F8" w:rsidP="00C65DB5">
      <w:pPr>
        <w:pStyle w:val="Default"/>
        <w:ind w:hanging="270"/>
        <w:jc w:val="both"/>
        <w:rPr>
          <w:sz w:val="22"/>
          <w:szCs w:val="22"/>
        </w:rPr>
      </w:pPr>
      <w:r>
        <w:rPr>
          <w:b/>
          <w:bCs/>
          <w:sz w:val="22"/>
          <w:szCs w:val="22"/>
        </w:rPr>
        <w:t>5</w:t>
      </w:r>
      <w:r w:rsidR="00910DBB">
        <w:rPr>
          <w:b/>
          <w:bCs/>
          <w:sz w:val="22"/>
          <w:szCs w:val="22"/>
        </w:rPr>
        <w:t xml:space="preserve">. </w:t>
      </w:r>
      <w:r w:rsidR="00EA201F">
        <w:rPr>
          <w:b/>
          <w:bCs/>
          <w:sz w:val="22"/>
          <w:szCs w:val="22"/>
        </w:rPr>
        <w:t xml:space="preserve"> </w:t>
      </w:r>
      <w:proofErr w:type="gramStart"/>
      <w:r w:rsidR="00910DBB" w:rsidRPr="00910DBB">
        <w:rPr>
          <w:b/>
          <w:bCs/>
          <w:sz w:val="22"/>
          <w:szCs w:val="22"/>
          <w:u w:val="single"/>
        </w:rPr>
        <w:t xml:space="preserve">Disclosure </w:t>
      </w:r>
      <w:r w:rsidR="00DD433E">
        <w:rPr>
          <w:b/>
          <w:bCs/>
          <w:sz w:val="22"/>
          <w:szCs w:val="22"/>
          <w:u w:val="single"/>
        </w:rPr>
        <w:t>:</w:t>
      </w:r>
      <w:proofErr w:type="gramEnd"/>
    </w:p>
    <w:p w:rsidR="00492415" w:rsidRDefault="00492415" w:rsidP="00C65DB5">
      <w:pPr>
        <w:ind w:hanging="270"/>
        <w:jc w:val="both"/>
        <w:rPr>
          <w:rFonts w:ascii="Book Antiqua" w:hAnsi="Book Antiqua"/>
        </w:rPr>
      </w:pPr>
    </w:p>
    <w:p w:rsidR="00426408" w:rsidRDefault="00170F6B" w:rsidP="00426408">
      <w:pPr>
        <w:ind w:hanging="270"/>
        <w:jc w:val="both"/>
        <w:rPr>
          <w:rFonts w:ascii="Book Antiqua" w:hAnsi="Book Antiqua"/>
        </w:rPr>
      </w:pPr>
      <w:r>
        <w:rPr>
          <w:rFonts w:ascii="Book Antiqua" w:hAnsi="Book Antiqua"/>
        </w:rPr>
        <w:t xml:space="preserve">     </w:t>
      </w:r>
      <w:r w:rsidR="00CF5A33" w:rsidRPr="00CF5A33">
        <w:rPr>
          <w:rFonts w:ascii="Book Antiqua" w:hAnsi="Book Antiqua"/>
        </w:rPr>
        <w:t>The policy shall also be uploaded on the websi</w:t>
      </w:r>
      <w:r w:rsidR="00CF5A33">
        <w:rPr>
          <w:rFonts w:ascii="Book Antiqua" w:hAnsi="Book Antiqua"/>
        </w:rPr>
        <w:t>te of the Company at www.hexaware</w:t>
      </w:r>
      <w:r w:rsidR="00426408">
        <w:rPr>
          <w:rFonts w:ascii="Book Antiqua" w:hAnsi="Book Antiqua"/>
        </w:rPr>
        <w:t xml:space="preserve">.com </w:t>
      </w:r>
    </w:p>
    <w:p w:rsidR="00426408" w:rsidRDefault="00426408" w:rsidP="00426408">
      <w:pPr>
        <w:ind w:hanging="270"/>
        <w:jc w:val="both"/>
        <w:rPr>
          <w:rFonts w:ascii="Book Antiqua" w:hAnsi="Book Antiqua"/>
        </w:rPr>
      </w:pPr>
    </w:p>
    <w:p w:rsidR="00426408" w:rsidRPr="000D2C11" w:rsidRDefault="00426408" w:rsidP="00426408">
      <w:pPr>
        <w:ind w:hanging="270"/>
        <w:jc w:val="both"/>
        <w:rPr>
          <w:rFonts w:ascii="Book Antiqua" w:hAnsi="Book Antiqua"/>
          <w:u w:val="single"/>
        </w:rPr>
      </w:pPr>
      <w:r>
        <w:rPr>
          <w:rFonts w:ascii="Book Antiqua" w:hAnsi="Book Antiqua"/>
        </w:rPr>
        <w:t>6</w:t>
      </w:r>
      <w:r w:rsidRPr="000D2C11">
        <w:rPr>
          <w:rFonts w:ascii="Book Antiqua" w:hAnsi="Book Antiqua"/>
        </w:rPr>
        <w:t>.</w:t>
      </w:r>
      <w:r w:rsidRPr="000D2C11">
        <w:rPr>
          <w:rFonts w:ascii="Book Antiqua" w:hAnsi="Book Antiqua"/>
        </w:rPr>
        <w:tab/>
      </w:r>
      <w:r w:rsidRPr="000D2C11">
        <w:rPr>
          <w:rFonts w:ascii="Book Antiqua" w:hAnsi="Book Antiqua"/>
          <w:b/>
          <w:bCs/>
          <w:u w:val="single"/>
        </w:rPr>
        <w:t>Policy Review and Amendment:</w:t>
      </w:r>
    </w:p>
    <w:p w:rsidR="00426408" w:rsidRPr="000D2C11" w:rsidRDefault="00426408" w:rsidP="00426408">
      <w:pPr>
        <w:jc w:val="both"/>
        <w:rPr>
          <w:rFonts w:ascii="Book Antiqua" w:hAnsi="Book Antiqua"/>
        </w:rPr>
      </w:pPr>
      <w:r w:rsidRPr="000D2C11">
        <w:rPr>
          <w:rFonts w:ascii="Book Antiqua" w:hAnsi="Book Antiqua"/>
        </w:rPr>
        <w:t xml:space="preserve">This policy shall be reviewed from time to time so that the policy remains compliant with applicable legal requirements. Any change in the Policy shall be approved by the Board of Directors of the Company. The Board of Directors shall have the right to withdraw and / or amend any part of this Policy or the entire Policy, at any time, as it deems fit. </w:t>
      </w:r>
    </w:p>
    <w:p w:rsidR="00AF5533" w:rsidRPr="00037EE8" w:rsidRDefault="00AF5533" w:rsidP="00C65DB5">
      <w:pPr>
        <w:ind w:hanging="270"/>
        <w:jc w:val="both"/>
        <w:rPr>
          <w:rFonts w:ascii="Book Antiqua" w:hAnsi="Book Antiqua"/>
        </w:rPr>
      </w:pPr>
    </w:p>
    <w:p w:rsidR="00DD433E" w:rsidRDefault="00426408" w:rsidP="00C65DB5">
      <w:pPr>
        <w:ind w:hanging="270"/>
        <w:jc w:val="both"/>
        <w:rPr>
          <w:rFonts w:ascii="Book Antiqua" w:hAnsi="Book Antiqua"/>
          <w:b/>
          <w:u w:val="single"/>
        </w:rPr>
      </w:pPr>
      <w:r>
        <w:rPr>
          <w:rFonts w:ascii="Book Antiqua" w:hAnsi="Book Antiqua"/>
          <w:b/>
        </w:rPr>
        <w:t>7</w:t>
      </w:r>
      <w:r w:rsidR="00DD433E" w:rsidRPr="00DD433E">
        <w:rPr>
          <w:rFonts w:ascii="Book Antiqua" w:hAnsi="Book Antiqua"/>
          <w:b/>
        </w:rPr>
        <w:t xml:space="preserve">. </w:t>
      </w:r>
      <w:r w:rsidR="00DD433E" w:rsidRPr="00DD433E">
        <w:rPr>
          <w:rFonts w:ascii="Book Antiqua" w:hAnsi="Book Antiqua"/>
          <w:b/>
          <w:u w:val="single"/>
        </w:rPr>
        <w:t>Precedence</w:t>
      </w:r>
      <w:r w:rsidR="00DD433E">
        <w:rPr>
          <w:rFonts w:ascii="Book Antiqua" w:hAnsi="Book Antiqua"/>
          <w:b/>
          <w:u w:val="single"/>
        </w:rPr>
        <w:t>:</w:t>
      </w:r>
    </w:p>
    <w:p w:rsidR="00DD433E" w:rsidRPr="00DD433E" w:rsidRDefault="00DD433E" w:rsidP="00C65DB5">
      <w:pPr>
        <w:ind w:hanging="270"/>
        <w:jc w:val="both"/>
        <w:rPr>
          <w:rFonts w:ascii="Book Antiqua" w:hAnsi="Book Antiqua"/>
        </w:rPr>
      </w:pPr>
      <w:r>
        <w:rPr>
          <w:rFonts w:ascii="Book Antiqua" w:hAnsi="Book Antiqua"/>
        </w:rPr>
        <w:tab/>
      </w:r>
      <w:r w:rsidRPr="00DD433E">
        <w:rPr>
          <w:rFonts w:ascii="Book Antiqua" w:hAnsi="Book Antiqua"/>
        </w:rPr>
        <w:t xml:space="preserve">In any circumstance where the terms of this policy differ from any existing or newly enacted law, rule, regulation or standard governing the Company, the law, rule, regulation or standard will take precedence over these policies and procedures until such time as this policy is changed to conform to the law, rule, regulation or standard. </w:t>
      </w:r>
    </w:p>
    <w:p w:rsidR="00695E5C" w:rsidRDefault="00695E5C" w:rsidP="007F2329">
      <w:pPr>
        <w:pBdr>
          <w:bottom w:val="dotted" w:sz="24" w:space="1" w:color="auto"/>
        </w:pBdr>
        <w:ind w:hanging="270"/>
        <w:jc w:val="both"/>
        <w:rPr>
          <w:rFonts w:ascii="Book Antiqua" w:hAnsi="Book Antiqua"/>
        </w:rPr>
      </w:pPr>
    </w:p>
    <w:p w:rsidR="00D926FD" w:rsidRDefault="00D926FD" w:rsidP="00FC5985">
      <w:pPr>
        <w:ind w:hanging="270"/>
        <w:jc w:val="center"/>
        <w:rPr>
          <w:rFonts w:ascii="Book Antiqua" w:hAnsi="Book Antiqua"/>
        </w:rPr>
      </w:pPr>
    </w:p>
    <w:p w:rsidR="00D926FD" w:rsidRPr="009249C4" w:rsidRDefault="00D926FD" w:rsidP="00D926F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249C4">
        <w:rPr>
          <w:rFonts w:ascii="Times New Roman" w:eastAsia="Times New Roman" w:hAnsi="Times New Roman" w:cs="Times New Roman"/>
          <w:b/>
          <w:bCs/>
          <w:sz w:val="36"/>
          <w:szCs w:val="36"/>
        </w:rPr>
        <w:t>Annexure 1</w:t>
      </w:r>
    </w:p>
    <w:p w:rsidR="00D926FD" w:rsidRPr="009249C4" w:rsidRDefault="00D926FD" w:rsidP="00D926F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lastRenderedPageBreak/>
        <w:t>Acquisition(s) (including agreement to acquire), Scheme of Arrangement (amalgamation/ merger/ demerger/restructuring), or sale or disposal of any unit(s), division(s) or subsidiary of the Company or any other restructuring.</w:t>
      </w:r>
    </w:p>
    <w:p w:rsidR="00D926FD" w:rsidRPr="009249C4" w:rsidRDefault="00D926FD" w:rsidP="00D926F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Issuance or forfeiture of securities, split or consolidation of shares, buyback of securities, any restriction on transferability of securities or alteration in terms or structure of existing securities including forfeiture, reissue of forfeited securities, alteration of calls, redemption of securities etc.</w:t>
      </w:r>
    </w:p>
    <w:p w:rsidR="00D926FD" w:rsidRPr="009249C4" w:rsidRDefault="00D926FD" w:rsidP="00D926F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Revision in Rating(s).</w:t>
      </w:r>
    </w:p>
    <w:p w:rsidR="00D926FD" w:rsidRPr="009249C4" w:rsidRDefault="00D926FD" w:rsidP="00D926F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Outcome of Meetings of the board of directors: The Company shall disclose to the Exchange(s), within 30 minutes of the closure of the meeting, held to consider the following:</w:t>
      </w:r>
    </w:p>
    <w:p w:rsidR="00D926FD" w:rsidRPr="009249C4" w:rsidRDefault="00D926FD" w:rsidP="00D926FD">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dividends and/or cash bonuses recommended or declared or the decision to pass any dividend and the date on which dividend shall be paid/dispatched;</w:t>
      </w:r>
    </w:p>
    <w:p w:rsidR="00D926FD" w:rsidRPr="009249C4" w:rsidRDefault="00D926FD" w:rsidP="00D926FD">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any cancellation of dividend with reasons thereof;</w:t>
      </w:r>
    </w:p>
    <w:p w:rsidR="00D926FD" w:rsidRPr="009249C4" w:rsidRDefault="00D926FD" w:rsidP="00D926FD">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the decision on buyback of securities;</w:t>
      </w:r>
    </w:p>
    <w:p w:rsidR="00D926FD" w:rsidRPr="009249C4" w:rsidRDefault="00D926FD" w:rsidP="00D926FD">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the decision with respect to fund raising proposed to be undertaken</w:t>
      </w:r>
    </w:p>
    <w:p w:rsidR="00D926FD" w:rsidRPr="009249C4" w:rsidRDefault="00D926FD" w:rsidP="00D926FD">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increase in capital by issue of bonus shares through capitalization including the date on which such bonus shares shall be credited/dispatched;</w:t>
      </w:r>
    </w:p>
    <w:p w:rsidR="00D926FD" w:rsidRPr="009249C4" w:rsidRDefault="00D926FD" w:rsidP="00D926FD">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reissue of forfeited shares or securities, or the issue of shares or securities held in reserve for future issue or the creation in any form or manner of new shares or securities or any other rights, privileges or benefits to subscribe to;</w:t>
      </w:r>
    </w:p>
    <w:p w:rsidR="00D926FD" w:rsidRPr="009249C4" w:rsidRDefault="00D926FD" w:rsidP="00D926FD">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short particulars of any other alterations of capital, including calls;</w:t>
      </w:r>
    </w:p>
    <w:p w:rsidR="00D926FD" w:rsidRPr="009249C4" w:rsidRDefault="00D926FD" w:rsidP="00D926FD">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financial results;</w:t>
      </w:r>
    </w:p>
    <w:p w:rsidR="00D926FD" w:rsidRPr="009249C4" w:rsidRDefault="00D926FD" w:rsidP="00D926FD">
      <w:pPr>
        <w:numPr>
          <w:ilvl w:val="1"/>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9249C4">
        <w:rPr>
          <w:rFonts w:ascii="Times New Roman" w:eastAsia="Times New Roman" w:hAnsi="Times New Roman" w:cs="Times New Roman"/>
          <w:sz w:val="24"/>
          <w:szCs w:val="24"/>
        </w:rPr>
        <w:t>decision</w:t>
      </w:r>
      <w:proofErr w:type="gramEnd"/>
      <w:r w:rsidRPr="009249C4">
        <w:rPr>
          <w:rFonts w:ascii="Times New Roman" w:eastAsia="Times New Roman" w:hAnsi="Times New Roman" w:cs="Times New Roman"/>
          <w:sz w:val="24"/>
          <w:szCs w:val="24"/>
        </w:rPr>
        <w:t xml:space="preserve"> on voluntary delisting by the Company from stock exchange(s).</w:t>
      </w:r>
    </w:p>
    <w:p w:rsidR="00D926FD" w:rsidRPr="009249C4" w:rsidRDefault="00D926FD" w:rsidP="00D926F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Agreements (viz. shareholder agreement(s), joint venture agreement(s), family settlement agreement(s) (to the extent that it impacts management and control of the Company), agreement(s)/treaty (</w:t>
      </w:r>
      <w:proofErr w:type="spellStart"/>
      <w:r w:rsidRPr="009249C4">
        <w:rPr>
          <w:rFonts w:ascii="Times New Roman" w:eastAsia="Times New Roman" w:hAnsi="Times New Roman" w:cs="Times New Roman"/>
          <w:sz w:val="24"/>
          <w:szCs w:val="24"/>
        </w:rPr>
        <w:t>ies</w:t>
      </w:r>
      <w:proofErr w:type="spellEnd"/>
      <w:r w:rsidRPr="009249C4">
        <w:rPr>
          <w:rFonts w:ascii="Times New Roman" w:eastAsia="Times New Roman" w:hAnsi="Times New Roman" w:cs="Times New Roman"/>
          <w:sz w:val="24"/>
          <w:szCs w:val="24"/>
        </w:rPr>
        <w:t>)/contract(s) with media companies) which are binding and not in normal course of business, revision(s) or amendment(s) and termination(s) thereof.</w:t>
      </w:r>
    </w:p>
    <w:p w:rsidR="00D926FD" w:rsidRPr="009249C4" w:rsidRDefault="00D926FD" w:rsidP="00D926F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Fraud/defaults by promoter or key managerial personnel or by Company or arrest of key managerial personnel or promoter.</w:t>
      </w:r>
    </w:p>
    <w:p w:rsidR="00D926FD" w:rsidRPr="009249C4" w:rsidRDefault="00D926FD" w:rsidP="00D926F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Change in directors, key managerial personnel (Managing Director, Chief Executive Officer, Chief Financial Officer , Company Secretary etc.), Auditor and Compliance Officer.</w:t>
      </w:r>
    </w:p>
    <w:p w:rsidR="00D926FD" w:rsidRPr="009249C4" w:rsidRDefault="00D926FD" w:rsidP="00D926F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Appointment or discontinuation of share transfer agent.</w:t>
      </w:r>
    </w:p>
    <w:p w:rsidR="00D926FD" w:rsidRPr="009249C4" w:rsidRDefault="00D926FD" w:rsidP="00D926F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Corporate debt restructuring.</w:t>
      </w:r>
    </w:p>
    <w:p w:rsidR="00D926FD" w:rsidRPr="009249C4" w:rsidRDefault="00D926FD" w:rsidP="00D926F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One time settlement with a bank.</w:t>
      </w:r>
    </w:p>
    <w:p w:rsidR="00D926FD" w:rsidRPr="009249C4" w:rsidRDefault="00D926FD" w:rsidP="00D926F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 xml:space="preserve">Reference to </w:t>
      </w:r>
      <w:proofErr w:type="spellStart"/>
      <w:r w:rsidRPr="009249C4">
        <w:rPr>
          <w:rFonts w:ascii="Times New Roman" w:eastAsia="Times New Roman" w:hAnsi="Times New Roman" w:cs="Times New Roman"/>
          <w:sz w:val="24"/>
          <w:szCs w:val="24"/>
        </w:rPr>
        <w:t>BIFR</w:t>
      </w:r>
      <w:proofErr w:type="spellEnd"/>
      <w:r w:rsidRPr="009249C4">
        <w:rPr>
          <w:rFonts w:ascii="Times New Roman" w:eastAsia="Times New Roman" w:hAnsi="Times New Roman" w:cs="Times New Roman"/>
          <w:sz w:val="24"/>
          <w:szCs w:val="24"/>
        </w:rPr>
        <w:t xml:space="preserve"> and winding-up petition filed by any party / creditors.</w:t>
      </w:r>
    </w:p>
    <w:p w:rsidR="00D926FD" w:rsidRPr="009249C4" w:rsidRDefault="00D926FD" w:rsidP="00D926F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Issuance of Notices, call letters, resolutions and circulars sent to shareholders, debenture holders or creditors or any class of them or advertised in the media by the Company.</w:t>
      </w:r>
    </w:p>
    <w:p w:rsidR="00D926FD" w:rsidRPr="009249C4" w:rsidRDefault="00D926FD" w:rsidP="00D926F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Proceedings of Annual and extraordinary general meetings of the Company.</w:t>
      </w:r>
    </w:p>
    <w:p w:rsidR="00D926FD" w:rsidRPr="009249C4" w:rsidRDefault="00D926FD" w:rsidP="00D926F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Amendments to memorandum and articles of association of Company, in brief.</w:t>
      </w:r>
    </w:p>
    <w:p w:rsidR="00D926FD" w:rsidRPr="009249C4" w:rsidRDefault="00D926FD" w:rsidP="00D926F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Schedule of Analyst or institutional investor meet and presentations on financial results made by the Company to analysts or institutional investors;</w:t>
      </w:r>
    </w:p>
    <w:p w:rsidR="00D926FD" w:rsidRPr="009249C4" w:rsidRDefault="00D926FD" w:rsidP="00D926F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249C4">
        <w:rPr>
          <w:rFonts w:ascii="Times New Roman" w:eastAsia="Times New Roman" w:hAnsi="Times New Roman" w:cs="Times New Roman"/>
          <w:b/>
          <w:bCs/>
          <w:sz w:val="36"/>
          <w:szCs w:val="36"/>
        </w:rPr>
        <w:t>Annexure 2</w:t>
      </w:r>
    </w:p>
    <w:p w:rsidR="00D926FD" w:rsidRPr="009249C4" w:rsidRDefault="00D926FD" w:rsidP="00D926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lastRenderedPageBreak/>
        <w:t>Commencement or any postponement in the date of commencement of commercial production or commercial operations of any unit/division.</w:t>
      </w:r>
    </w:p>
    <w:p w:rsidR="00D926FD" w:rsidRPr="009249C4" w:rsidRDefault="00D926FD" w:rsidP="00D926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Change in the general character or nature of business brought about by arrangements for strategic, technical, manufacturing, or marketing tie-up, adoption of new lines of business or closure of operations of any unit/division (entirety or piecemeal).</w:t>
      </w:r>
    </w:p>
    <w:p w:rsidR="00D926FD" w:rsidRPr="009249C4" w:rsidRDefault="00D926FD" w:rsidP="00D926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Capacity addition or product launch.</w:t>
      </w:r>
    </w:p>
    <w:p w:rsidR="00D926FD" w:rsidRPr="009249C4" w:rsidRDefault="00D926FD" w:rsidP="00D926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Awarding, bagging/ receiving, amendment or termination of awarded/bagged orders/contracts not in the normal course of business.</w:t>
      </w:r>
    </w:p>
    <w:p w:rsidR="00D926FD" w:rsidRPr="009249C4" w:rsidRDefault="00D926FD" w:rsidP="00D926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Agreements (viz. loan agreement(s) (as a borrower) or any other agreement(s) which are binding and not in normal course of business) and revision(s) or amendment(s) or termination(s) thereof.</w:t>
      </w:r>
    </w:p>
    <w:p w:rsidR="00D926FD" w:rsidRPr="009249C4" w:rsidRDefault="00D926FD" w:rsidP="00D926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Disruption of operations of any one or more units or division of the Company due to natural calamity (earthquake, flood, fire etc.), force majeure or events such as strikes, lockouts etc.</w:t>
      </w:r>
    </w:p>
    <w:p w:rsidR="00D926FD" w:rsidRPr="009249C4" w:rsidRDefault="00D926FD" w:rsidP="00D926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Effect(s) arising out of change in the regulatory framework applicable to the Company.</w:t>
      </w:r>
    </w:p>
    <w:p w:rsidR="00D926FD" w:rsidRPr="009249C4" w:rsidRDefault="00D926FD" w:rsidP="00D926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Litigation(s) / dispute(s) / regulatory action(s) with impact.</w:t>
      </w:r>
    </w:p>
    <w:p w:rsidR="00D926FD" w:rsidRPr="009249C4" w:rsidRDefault="00D926FD" w:rsidP="00D926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Fraud/defaults etc. by directors (other than key managerial personnel) or employees of Company.</w:t>
      </w:r>
    </w:p>
    <w:p w:rsidR="00D926FD" w:rsidRPr="009249C4" w:rsidRDefault="00D926FD" w:rsidP="00D926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Options to purchase securities including any ESOP/ESPS Scheme.</w:t>
      </w:r>
    </w:p>
    <w:p w:rsidR="00D926FD" w:rsidRPr="009249C4" w:rsidRDefault="00D926FD" w:rsidP="00D926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Giving of guarantees or indemnity or becoming a surety for any third party.</w:t>
      </w:r>
    </w:p>
    <w:p w:rsidR="00D926FD" w:rsidRPr="009249C4" w:rsidRDefault="00D926FD" w:rsidP="00D926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Granting, withdrawal, surrender, cancellation or suspension of key licenses or regulatory approvals.</w:t>
      </w:r>
    </w:p>
    <w:p w:rsidR="00D926FD" w:rsidRPr="009249C4" w:rsidRDefault="00D926FD" w:rsidP="00D926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249C4">
        <w:rPr>
          <w:rFonts w:ascii="Times New Roman" w:eastAsia="Times New Roman" w:hAnsi="Times New Roman" w:cs="Times New Roman"/>
          <w:sz w:val="24"/>
          <w:szCs w:val="24"/>
        </w:rPr>
        <w:t>Any other information/event viz. major development that is likely to affect business, e.g. emergence of new technologies, expiry of patents, any change of accounting policy that may have a significant impact on the accounts, etc. and brief details thereof and any other information which is exclusively known to the Company which may be necessary to enable the holders of securities of the Company to appraise its position and to avoid the establishment of a false market in such securities.</w:t>
      </w:r>
    </w:p>
    <w:p w:rsidR="00D926FD" w:rsidRDefault="00D926FD" w:rsidP="00D926FD"/>
    <w:p w:rsidR="00D926FD" w:rsidRPr="00E47F5F" w:rsidRDefault="00D926FD" w:rsidP="00FC5985">
      <w:pPr>
        <w:ind w:hanging="270"/>
        <w:jc w:val="center"/>
        <w:rPr>
          <w:rFonts w:ascii="Book Antiqua" w:hAnsi="Book Antiqua"/>
        </w:rPr>
      </w:pPr>
    </w:p>
    <w:sectPr w:rsidR="00D926FD" w:rsidRPr="00E47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304E60A4"/>
    <w:multiLevelType w:val="hybridMultilevel"/>
    <w:tmpl w:val="E5769126"/>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42FF683B"/>
    <w:multiLevelType w:val="hybridMultilevel"/>
    <w:tmpl w:val="C49668D8"/>
    <w:lvl w:ilvl="0" w:tplc="FFFFFFFF">
      <w:start w:val="1"/>
      <w:numFmt w:val="decimal"/>
      <w:lvlText w:val="%1."/>
      <w:lvlJc w:val="left"/>
      <w:pPr>
        <w:widowControl w:val="0"/>
        <w:autoSpaceDE w:val="0"/>
        <w:autoSpaceDN w:val="0"/>
        <w:adjustRightInd w:val="0"/>
        <w:ind w:left="1080" w:hanging="360"/>
      </w:pPr>
      <w:rPr>
        <w:rFonts w:ascii="Times New Roman" w:hAnsi="Times New Roman" w:cs="Times New Roman"/>
        <w:sz w:val="20"/>
        <w:szCs w:val="20"/>
      </w:rPr>
    </w:lvl>
    <w:lvl w:ilvl="1" w:tplc="FFFFFFFF">
      <w:start w:val="1"/>
      <w:numFmt w:val="lowerLetter"/>
      <w:lvlText w:val="%2."/>
      <w:lvlJc w:val="left"/>
      <w:pPr>
        <w:widowControl w:val="0"/>
        <w:autoSpaceDE w:val="0"/>
        <w:autoSpaceDN w:val="0"/>
        <w:adjustRightInd w:val="0"/>
        <w:ind w:left="1800" w:hanging="360"/>
      </w:pPr>
      <w:rPr>
        <w:rFonts w:ascii="Times New Roman" w:hAnsi="Times New Roman" w:cs="Times New Roman"/>
        <w:sz w:val="20"/>
        <w:szCs w:val="20"/>
      </w:rPr>
    </w:lvl>
    <w:lvl w:ilvl="2" w:tplc="FFFFFFFF">
      <w:start w:val="1"/>
      <w:numFmt w:val="lowerRoman"/>
      <w:lvlText w:val="%3."/>
      <w:lvlJc w:val="right"/>
      <w:pPr>
        <w:widowControl w:val="0"/>
        <w:autoSpaceDE w:val="0"/>
        <w:autoSpaceDN w:val="0"/>
        <w:adjustRightInd w:val="0"/>
        <w:ind w:left="2520" w:hanging="180"/>
      </w:pPr>
      <w:rPr>
        <w:rFonts w:ascii="Times New Roman" w:hAnsi="Times New Roman" w:cs="Times New Roman"/>
        <w:sz w:val="20"/>
        <w:szCs w:val="20"/>
      </w:rPr>
    </w:lvl>
    <w:lvl w:ilvl="3" w:tplc="FFFFFFFF">
      <w:start w:val="1"/>
      <w:numFmt w:val="decimal"/>
      <w:lvlText w:val="%4."/>
      <w:lvlJc w:val="left"/>
      <w:pPr>
        <w:widowControl w:val="0"/>
        <w:autoSpaceDE w:val="0"/>
        <w:autoSpaceDN w:val="0"/>
        <w:adjustRightInd w:val="0"/>
        <w:ind w:left="324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960" w:hanging="360"/>
      </w:pPr>
      <w:rPr>
        <w:rFonts w:ascii="Times New Roman" w:hAnsi="Times New Roman" w:cs="Times New Roman"/>
        <w:sz w:val="20"/>
        <w:szCs w:val="20"/>
      </w:rPr>
    </w:lvl>
    <w:lvl w:ilvl="5" w:tplc="FFFFFFFF">
      <w:start w:val="1"/>
      <w:numFmt w:val="lowerRoman"/>
      <w:lvlText w:val="%6."/>
      <w:lvlJc w:val="right"/>
      <w:pPr>
        <w:widowControl w:val="0"/>
        <w:autoSpaceDE w:val="0"/>
        <w:autoSpaceDN w:val="0"/>
        <w:adjustRightInd w:val="0"/>
        <w:ind w:left="4680" w:hanging="180"/>
      </w:pPr>
      <w:rPr>
        <w:rFonts w:ascii="Times New Roman" w:hAnsi="Times New Roman" w:cs="Times New Roman"/>
        <w:sz w:val="20"/>
        <w:szCs w:val="20"/>
      </w:rPr>
    </w:lvl>
    <w:lvl w:ilvl="6" w:tplc="FFFFFFFF">
      <w:start w:val="1"/>
      <w:numFmt w:val="decimal"/>
      <w:lvlText w:val="%7."/>
      <w:lvlJc w:val="left"/>
      <w:pPr>
        <w:widowControl w:val="0"/>
        <w:autoSpaceDE w:val="0"/>
        <w:autoSpaceDN w:val="0"/>
        <w:adjustRightInd w:val="0"/>
        <w:ind w:left="5400" w:hanging="360"/>
      </w:pPr>
      <w:rPr>
        <w:rFonts w:ascii="Times New Roman" w:hAnsi="Times New Roman" w:cs="Times New Roman"/>
        <w:sz w:val="20"/>
        <w:szCs w:val="20"/>
      </w:rPr>
    </w:lvl>
    <w:lvl w:ilvl="7" w:tplc="FFFFFFFF">
      <w:start w:val="1"/>
      <w:numFmt w:val="lowerLetter"/>
      <w:lvlText w:val="%8."/>
      <w:lvlJc w:val="left"/>
      <w:pPr>
        <w:widowControl w:val="0"/>
        <w:autoSpaceDE w:val="0"/>
        <w:autoSpaceDN w:val="0"/>
        <w:adjustRightInd w:val="0"/>
        <w:ind w:left="6120" w:hanging="360"/>
      </w:pPr>
      <w:rPr>
        <w:rFonts w:ascii="Times New Roman" w:hAnsi="Times New Roman" w:cs="Times New Roman"/>
        <w:sz w:val="20"/>
        <w:szCs w:val="20"/>
      </w:rPr>
    </w:lvl>
    <w:lvl w:ilvl="8" w:tplc="FFFFFFFF">
      <w:start w:val="1"/>
      <w:numFmt w:val="lowerRoman"/>
      <w:lvlText w:val="%9."/>
      <w:lvlJc w:val="right"/>
      <w:pPr>
        <w:widowControl w:val="0"/>
        <w:autoSpaceDE w:val="0"/>
        <w:autoSpaceDN w:val="0"/>
        <w:adjustRightInd w:val="0"/>
        <w:ind w:left="6840" w:hanging="180"/>
      </w:pPr>
      <w:rPr>
        <w:rFonts w:ascii="Times New Roman" w:hAnsi="Times New Roman" w:cs="Times New Roman"/>
        <w:sz w:val="20"/>
        <w:szCs w:val="20"/>
      </w:rPr>
    </w:lvl>
  </w:abstractNum>
  <w:abstractNum w:abstractNumId="2">
    <w:nsid w:val="619B31AD"/>
    <w:multiLevelType w:val="multilevel"/>
    <w:tmpl w:val="135031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BB7B6B"/>
    <w:multiLevelType w:val="multilevel"/>
    <w:tmpl w:val="1E921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tplc="FFFFFFFF">
        <w:start w:val="1"/>
        <w:numFmt w:val="decimal"/>
        <w:lvlText w:val="%1."/>
        <w:lvlJc w:val="left"/>
        <w:pPr>
          <w:widowControl w:val="0"/>
          <w:autoSpaceDE w:val="0"/>
          <w:autoSpaceDN w:val="0"/>
          <w:adjustRightInd w:val="0"/>
          <w:ind w:left="1080" w:hanging="360"/>
        </w:pPr>
        <w:rPr>
          <w:rFonts w:ascii="Times New Roman" w:hAnsi="Times New Roman" w:cs="Times New Roman"/>
          <w:color w:val="0000FF"/>
          <w:sz w:val="20"/>
          <w:szCs w:val="20"/>
          <w:u w:val="double"/>
        </w:rPr>
      </w:lvl>
    </w:lvlOverride>
    <w:lvlOverride w:ilvl="1">
      <w:lvl w:ilvl="1" w:tplc="FFFFFFFF">
        <w:start w:val="1"/>
        <w:numFmt w:val="lowerLetter"/>
        <w:lvlText w:val="%2."/>
        <w:lvlJc w:val="left"/>
        <w:pPr>
          <w:widowControl w:val="0"/>
          <w:autoSpaceDE w:val="0"/>
          <w:autoSpaceDN w:val="0"/>
          <w:adjustRightInd w:val="0"/>
          <w:ind w:left="1800" w:hanging="360"/>
        </w:pPr>
        <w:rPr>
          <w:rFonts w:ascii="Times New Roman" w:hAnsi="Times New Roman" w:cs="Times New Roman"/>
          <w:color w:val="0000FF"/>
          <w:sz w:val="20"/>
          <w:szCs w:val="20"/>
          <w:u w:val="double"/>
        </w:rPr>
      </w:lvl>
    </w:lvlOverride>
    <w:lvlOverride w:ilvl="2">
      <w:lvl w:ilvl="2" w:tplc="FFFFFFFF">
        <w:start w:val="1"/>
        <w:numFmt w:val="lowerRoman"/>
        <w:lvlText w:val="%3."/>
        <w:lvlJc w:val="right"/>
        <w:pPr>
          <w:widowControl w:val="0"/>
          <w:autoSpaceDE w:val="0"/>
          <w:autoSpaceDN w:val="0"/>
          <w:adjustRightInd w:val="0"/>
          <w:ind w:left="2520" w:hanging="180"/>
        </w:pPr>
        <w:rPr>
          <w:rFonts w:ascii="Times New Roman" w:hAnsi="Times New Roman" w:cs="Times New Roman"/>
          <w:color w:val="0000FF"/>
          <w:sz w:val="20"/>
          <w:szCs w:val="20"/>
          <w:u w:val="double"/>
        </w:rPr>
      </w:lvl>
    </w:lvlOverride>
    <w:lvlOverride w:ilvl="3">
      <w:lvl w:ilvl="3" w:tplc="FFFFFFFF">
        <w:start w:val="1"/>
        <w:numFmt w:val="decimal"/>
        <w:lvlText w:val="%4."/>
        <w:lvlJc w:val="left"/>
        <w:pPr>
          <w:widowControl w:val="0"/>
          <w:autoSpaceDE w:val="0"/>
          <w:autoSpaceDN w:val="0"/>
          <w:adjustRightInd w:val="0"/>
          <w:ind w:left="3240" w:hanging="360"/>
        </w:pPr>
        <w:rPr>
          <w:rFonts w:ascii="Times New Roman" w:hAnsi="Times New Roman" w:cs="Times New Roman"/>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ind w:left="3960" w:hanging="360"/>
        </w:pPr>
        <w:rPr>
          <w:rFonts w:ascii="Times New Roman" w:hAnsi="Times New Roman" w:cs="Times New Roman"/>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ind w:left="4680" w:hanging="180"/>
        </w:pPr>
        <w:rPr>
          <w:rFonts w:ascii="Times New Roman" w:hAnsi="Times New Roman" w:cs="Times New Roman"/>
          <w:color w:val="0000FF"/>
          <w:sz w:val="20"/>
          <w:szCs w:val="20"/>
          <w:u w:val="double"/>
        </w:rPr>
      </w:lvl>
    </w:lvlOverride>
    <w:lvlOverride w:ilvl="6">
      <w:lvl w:ilvl="6" w:tplc="FFFFFFFF">
        <w:start w:val="1"/>
        <w:numFmt w:val="decimal"/>
        <w:lvlText w:val="%7."/>
        <w:lvlJc w:val="left"/>
        <w:pPr>
          <w:widowControl w:val="0"/>
          <w:autoSpaceDE w:val="0"/>
          <w:autoSpaceDN w:val="0"/>
          <w:adjustRightInd w:val="0"/>
          <w:ind w:left="5400" w:hanging="360"/>
        </w:pPr>
        <w:rPr>
          <w:rFonts w:ascii="Times New Roman" w:hAnsi="Times New Roman" w:cs="Times New Roman"/>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ind w:left="6120" w:hanging="360"/>
        </w:pPr>
        <w:rPr>
          <w:rFonts w:ascii="Times New Roman" w:hAnsi="Times New Roman" w:cs="Times New Roman"/>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ind w:left="6840" w:hanging="180"/>
        </w:pPr>
        <w:rPr>
          <w:rFonts w:ascii="Times New Roman" w:hAnsi="Times New Roman" w:cs="Times New Roman"/>
          <w:color w:val="0000FF"/>
          <w:sz w:val="20"/>
          <w:szCs w:val="20"/>
          <w:u w:val="double"/>
        </w:rPr>
      </w:lvl>
    </w:lvlOverride>
  </w:num>
  <w:num w:numId="2">
    <w:abstractNumId w:val="0"/>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CD"/>
    <w:rsid w:val="0002799E"/>
    <w:rsid w:val="00027B56"/>
    <w:rsid w:val="00033642"/>
    <w:rsid w:val="00037EE8"/>
    <w:rsid w:val="00065A8C"/>
    <w:rsid w:val="0008000E"/>
    <w:rsid w:val="000A52C4"/>
    <w:rsid w:val="000C29A7"/>
    <w:rsid w:val="000D2C11"/>
    <w:rsid w:val="000F230D"/>
    <w:rsid w:val="00114473"/>
    <w:rsid w:val="00170F6B"/>
    <w:rsid w:val="001717E4"/>
    <w:rsid w:val="001A4E94"/>
    <w:rsid w:val="001C28EC"/>
    <w:rsid w:val="001D4B40"/>
    <w:rsid w:val="00251548"/>
    <w:rsid w:val="002A71FF"/>
    <w:rsid w:val="002B561F"/>
    <w:rsid w:val="0030220C"/>
    <w:rsid w:val="003044D0"/>
    <w:rsid w:val="003514AB"/>
    <w:rsid w:val="0039151D"/>
    <w:rsid w:val="003B609E"/>
    <w:rsid w:val="003D2827"/>
    <w:rsid w:val="00426408"/>
    <w:rsid w:val="004554A1"/>
    <w:rsid w:val="004667A2"/>
    <w:rsid w:val="00492415"/>
    <w:rsid w:val="00493784"/>
    <w:rsid w:val="004B45EE"/>
    <w:rsid w:val="004D3F85"/>
    <w:rsid w:val="004F4103"/>
    <w:rsid w:val="00503E7A"/>
    <w:rsid w:val="005042F0"/>
    <w:rsid w:val="00576309"/>
    <w:rsid w:val="00587DC8"/>
    <w:rsid w:val="0059583D"/>
    <w:rsid w:val="005E3B1E"/>
    <w:rsid w:val="005F1B8C"/>
    <w:rsid w:val="00605195"/>
    <w:rsid w:val="00653C9A"/>
    <w:rsid w:val="00685EB9"/>
    <w:rsid w:val="00695E5C"/>
    <w:rsid w:val="006A740F"/>
    <w:rsid w:val="006A78F8"/>
    <w:rsid w:val="006F605B"/>
    <w:rsid w:val="007143CD"/>
    <w:rsid w:val="0072043A"/>
    <w:rsid w:val="007423F1"/>
    <w:rsid w:val="007A0197"/>
    <w:rsid w:val="007A491B"/>
    <w:rsid w:val="007C21D8"/>
    <w:rsid w:val="007F2329"/>
    <w:rsid w:val="00817E69"/>
    <w:rsid w:val="008226D2"/>
    <w:rsid w:val="00842762"/>
    <w:rsid w:val="0089498E"/>
    <w:rsid w:val="00894CAE"/>
    <w:rsid w:val="00910DBB"/>
    <w:rsid w:val="00970A38"/>
    <w:rsid w:val="00983AF7"/>
    <w:rsid w:val="0099226F"/>
    <w:rsid w:val="009B2A75"/>
    <w:rsid w:val="009B7205"/>
    <w:rsid w:val="009C7092"/>
    <w:rsid w:val="00A05F9C"/>
    <w:rsid w:val="00A36B27"/>
    <w:rsid w:val="00A4320A"/>
    <w:rsid w:val="00AA6F51"/>
    <w:rsid w:val="00AB7D78"/>
    <w:rsid w:val="00AD3933"/>
    <w:rsid w:val="00AF5533"/>
    <w:rsid w:val="00B16BFD"/>
    <w:rsid w:val="00B45437"/>
    <w:rsid w:val="00B968CA"/>
    <w:rsid w:val="00C03A75"/>
    <w:rsid w:val="00C16DEF"/>
    <w:rsid w:val="00C31965"/>
    <w:rsid w:val="00C4114E"/>
    <w:rsid w:val="00C65DB5"/>
    <w:rsid w:val="00C761A5"/>
    <w:rsid w:val="00CB0B01"/>
    <w:rsid w:val="00CE7602"/>
    <w:rsid w:val="00CF5A33"/>
    <w:rsid w:val="00D04622"/>
    <w:rsid w:val="00D33A1B"/>
    <w:rsid w:val="00D350B9"/>
    <w:rsid w:val="00D50F22"/>
    <w:rsid w:val="00D81907"/>
    <w:rsid w:val="00D926FD"/>
    <w:rsid w:val="00DD433E"/>
    <w:rsid w:val="00DE2EED"/>
    <w:rsid w:val="00E1365F"/>
    <w:rsid w:val="00E15ABB"/>
    <w:rsid w:val="00E47F5F"/>
    <w:rsid w:val="00E67540"/>
    <w:rsid w:val="00E87924"/>
    <w:rsid w:val="00EA201F"/>
    <w:rsid w:val="00EB269E"/>
    <w:rsid w:val="00EB3226"/>
    <w:rsid w:val="00EB7195"/>
    <w:rsid w:val="00EC3037"/>
    <w:rsid w:val="00EE28C2"/>
    <w:rsid w:val="00F20DEE"/>
    <w:rsid w:val="00F3683E"/>
    <w:rsid w:val="00FC5985"/>
    <w:rsid w:val="00FD1350"/>
    <w:rsid w:val="00FD140C"/>
    <w:rsid w:val="00FD4140"/>
    <w:rsid w:val="00FD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67A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B4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5EE"/>
    <w:rPr>
      <w:rFonts w:ascii="Tahoma" w:hAnsi="Tahoma" w:cs="Tahoma"/>
      <w:sz w:val="16"/>
      <w:szCs w:val="16"/>
    </w:rPr>
  </w:style>
  <w:style w:type="character" w:customStyle="1" w:styleId="DeltaViewInsertion">
    <w:name w:val="DeltaView Insertion"/>
    <w:uiPriority w:val="99"/>
    <w:rsid w:val="0039151D"/>
    <w:rPr>
      <w:color w:val="0000FF"/>
      <w:u w:val="double"/>
    </w:rPr>
  </w:style>
  <w:style w:type="character" w:customStyle="1" w:styleId="DeltaViewMoveDestination">
    <w:name w:val="DeltaView Move Destination"/>
    <w:uiPriority w:val="99"/>
    <w:rsid w:val="0039151D"/>
    <w:rPr>
      <w:color w:val="00C000"/>
      <w:u w:val="double"/>
    </w:rPr>
  </w:style>
  <w:style w:type="paragraph" w:styleId="ListParagraph">
    <w:name w:val="List Paragraph"/>
    <w:basedOn w:val="Normal"/>
    <w:uiPriority w:val="34"/>
    <w:qFormat/>
    <w:rsid w:val="00D50F22"/>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027B56"/>
    <w:rPr>
      <w:sz w:val="16"/>
      <w:szCs w:val="16"/>
    </w:rPr>
  </w:style>
  <w:style w:type="paragraph" w:styleId="CommentText">
    <w:name w:val="annotation text"/>
    <w:basedOn w:val="Normal"/>
    <w:link w:val="CommentTextChar"/>
    <w:uiPriority w:val="99"/>
    <w:semiHidden/>
    <w:unhideWhenUsed/>
    <w:rsid w:val="00027B56"/>
    <w:pPr>
      <w:spacing w:line="240" w:lineRule="auto"/>
    </w:pPr>
    <w:rPr>
      <w:sz w:val="20"/>
      <w:szCs w:val="20"/>
    </w:rPr>
  </w:style>
  <w:style w:type="character" w:customStyle="1" w:styleId="CommentTextChar">
    <w:name w:val="Comment Text Char"/>
    <w:basedOn w:val="DefaultParagraphFont"/>
    <w:link w:val="CommentText"/>
    <w:uiPriority w:val="99"/>
    <w:semiHidden/>
    <w:rsid w:val="00027B56"/>
    <w:rPr>
      <w:sz w:val="20"/>
      <w:szCs w:val="20"/>
    </w:rPr>
  </w:style>
  <w:style w:type="paragraph" w:styleId="CommentSubject">
    <w:name w:val="annotation subject"/>
    <w:basedOn w:val="CommentText"/>
    <w:next w:val="CommentText"/>
    <w:link w:val="CommentSubjectChar"/>
    <w:uiPriority w:val="99"/>
    <w:semiHidden/>
    <w:unhideWhenUsed/>
    <w:rsid w:val="00027B56"/>
    <w:rPr>
      <w:b/>
      <w:bCs/>
    </w:rPr>
  </w:style>
  <w:style w:type="character" w:customStyle="1" w:styleId="CommentSubjectChar">
    <w:name w:val="Comment Subject Char"/>
    <w:basedOn w:val="CommentTextChar"/>
    <w:link w:val="CommentSubject"/>
    <w:uiPriority w:val="99"/>
    <w:semiHidden/>
    <w:rsid w:val="00027B5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67A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B4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5EE"/>
    <w:rPr>
      <w:rFonts w:ascii="Tahoma" w:hAnsi="Tahoma" w:cs="Tahoma"/>
      <w:sz w:val="16"/>
      <w:szCs w:val="16"/>
    </w:rPr>
  </w:style>
  <w:style w:type="character" w:customStyle="1" w:styleId="DeltaViewInsertion">
    <w:name w:val="DeltaView Insertion"/>
    <w:uiPriority w:val="99"/>
    <w:rsid w:val="0039151D"/>
    <w:rPr>
      <w:color w:val="0000FF"/>
      <w:u w:val="double"/>
    </w:rPr>
  </w:style>
  <w:style w:type="character" w:customStyle="1" w:styleId="DeltaViewMoveDestination">
    <w:name w:val="DeltaView Move Destination"/>
    <w:uiPriority w:val="99"/>
    <w:rsid w:val="0039151D"/>
    <w:rPr>
      <w:color w:val="00C000"/>
      <w:u w:val="double"/>
    </w:rPr>
  </w:style>
  <w:style w:type="paragraph" w:styleId="ListParagraph">
    <w:name w:val="List Paragraph"/>
    <w:basedOn w:val="Normal"/>
    <w:uiPriority w:val="34"/>
    <w:qFormat/>
    <w:rsid w:val="00D50F22"/>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027B56"/>
    <w:rPr>
      <w:sz w:val="16"/>
      <w:szCs w:val="16"/>
    </w:rPr>
  </w:style>
  <w:style w:type="paragraph" w:styleId="CommentText">
    <w:name w:val="annotation text"/>
    <w:basedOn w:val="Normal"/>
    <w:link w:val="CommentTextChar"/>
    <w:uiPriority w:val="99"/>
    <w:semiHidden/>
    <w:unhideWhenUsed/>
    <w:rsid w:val="00027B56"/>
    <w:pPr>
      <w:spacing w:line="240" w:lineRule="auto"/>
    </w:pPr>
    <w:rPr>
      <w:sz w:val="20"/>
      <w:szCs w:val="20"/>
    </w:rPr>
  </w:style>
  <w:style w:type="character" w:customStyle="1" w:styleId="CommentTextChar">
    <w:name w:val="Comment Text Char"/>
    <w:basedOn w:val="DefaultParagraphFont"/>
    <w:link w:val="CommentText"/>
    <w:uiPriority w:val="99"/>
    <w:semiHidden/>
    <w:rsid w:val="00027B56"/>
    <w:rPr>
      <w:sz w:val="20"/>
      <w:szCs w:val="20"/>
    </w:rPr>
  </w:style>
  <w:style w:type="paragraph" w:styleId="CommentSubject">
    <w:name w:val="annotation subject"/>
    <w:basedOn w:val="CommentText"/>
    <w:next w:val="CommentText"/>
    <w:link w:val="CommentSubjectChar"/>
    <w:uiPriority w:val="99"/>
    <w:semiHidden/>
    <w:unhideWhenUsed/>
    <w:rsid w:val="00027B56"/>
    <w:rPr>
      <w:b/>
      <w:bCs/>
    </w:rPr>
  </w:style>
  <w:style w:type="character" w:customStyle="1" w:styleId="CommentSubjectChar">
    <w:name w:val="Comment Subject Char"/>
    <w:basedOn w:val="CommentTextChar"/>
    <w:link w:val="CommentSubject"/>
    <w:uiPriority w:val="99"/>
    <w:semiHidden/>
    <w:rsid w:val="00027B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034315">
      <w:bodyDiv w:val="1"/>
      <w:marLeft w:val="0"/>
      <w:marRight w:val="0"/>
      <w:marTop w:val="0"/>
      <w:marBottom w:val="0"/>
      <w:divBdr>
        <w:top w:val="none" w:sz="0" w:space="0" w:color="auto"/>
        <w:left w:val="none" w:sz="0" w:space="0" w:color="auto"/>
        <w:bottom w:val="none" w:sz="0" w:space="0" w:color="auto"/>
        <w:right w:val="none" w:sz="0" w:space="0" w:color="auto"/>
      </w:divBdr>
    </w:div>
    <w:div w:id="161081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Vasandani</dc:creator>
  <cp:lastModifiedBy>Gunjan Methi</cp:lastModifiedBy>
  <cp:revision>28</cp:revision>
  <dcterms:created xsi:type="dcterms:W3CDTF">2015-11-25T13:10:00Z</dcterms:created>
  <dcterms:modified xsi:type="dcterms:W3CDTF">2015-12-30T13:54:00Z</dcterms:modified>
</cp:coreProperties>
</file>