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ADB" w:rsidRPr="00614D5A" w:rsidRDefault="001D4629" w:rsidP="00987D22">
      <w:pPr>
        <w:jc w:val="center"/>
        <w:rPr>
          <w:rFonts w:ascii="Book Antiqua" w:hAnsi="Book Antiqua"/>
          <w:b/>
          <w:sz w:val="44"/>
          <w:szCs w:val="44"/>
          <w:u w:val="single"/>
        </w:rPr>
      </w:pPr>
      <w:bookmarkStart w:id="0" w:name="_GoBack"/>
      <w:r>
        <w:rPr>
          <w:rFonts w:ascii="Book Antiqua" w:hAnsi="Book Antiqua"/>
          <w:b/>
          <w:sz w:val="44"/>
          <w:szCs w:val="44"/>
          <w:u w:val="single"/>
        </w:rPr>
        <w:t xml:space="preserve">Archival </w:t>
      </w:r>
      <w:r w:rsidR="00987D22" w:rsidRPr="00614D5A">
        <w:rPr>
          <w:rFonts w:ascii="Book Antiqua" w:hAnsi="Book Antiqua"/>
          <w:b/>
          <w:sz w:val="44"/>
          <w:szCs w:val="44"/>
          <w:u w:val="single"/>
        </w:rPr>
        <w:t>Poli</w:t>
      </w:r>
      <w:r>
        <w:rPr>
          <w:rFonts w:ascii="Book Antiqua" w:hAnsi="Book Antiqua"/>
          <w:b/>
          <w:sz w:val="44"/>
          <w:szCs w:val="44"/>
          <w:u w:val="single"/>
        </w:rPr>
        <w:t xml:space="preserve">cy  </w:t>
      </w:r>
    </w:p>
    <w:bookmarkEnd w:id="0"/>
    <w:p w:rsidR="00987D22" w:rsidRDefault="00987D22" w:rsidP="00987D22">
      <w:pPr>
        <w:jc w:val="center"/>
      </w:pPr>
    </w:p>
    <w:p w:rsidR="00B707EA" w:rsidRPr="00C65DB5" w:rsidRDefault="00B707EA" w:rsidP="00921A88">
      <w:pPr>
        <w:ind w:left="-270"/>
        <w:jc w:val="both"/>
        <w:rPr>
          <w:rFonts w:ascii="Book Antiqua" w:hAnsi="Book Antiqua"/>
          <w:b/>
          <w:bCs/>
        </w:rPr>
      </w:pPr>
      <w:r w:rsidRPr="004667A2">
        <w:rPr>
          <w:rFonts w:ascii="Book Antiqua" w:hAnsi="Book Antiqua"/>
          <w:b/>
        </w:rPr>
        <w:t xml:space="preserve">1.  </w:t>
      </w:r>
      <w:r w:rsidRPr="002E03FE">
        <w:rPr>
          <w:rFonts w:ascii="Book Antiqua" w:hAnsi="Book Antiqua"/>
          <w:b/>
          <w:bCs/>
          <w:sz w:val="24"/>
          <w:szCs w:val="24"/>
          <w:u w:val="single"/>
        </w:rPr>
        <w:t>Introduction</w:t>
      </w:r>
    </w:p>
    <w:p w:rsidR="000A2586" w:rsidRDefault="00B707EA" w:rsidP="00B707EA">
      <w:pPr>
        <w:jc w:val="both"/>
        <w:rPr>
          <w:rFonts w:ascii="Book Antiqua" w:hAnsi="Book Antiqua"/>
        </w:rPr>
      </w:pPr>
      <w:r w:rsidRPr="004667A2">
        <w:rPr>
          <w:rFonts w:ascii="Book Antiqua" w:hAnsi="Book Antiqua"/>
        </w:rPr>
        <w:t>The Board of Directors of Hexaware Technologies Limited (</w:t>
      </w:r>
      <w:r w:rsidRPr="004667A2">
        <w:rPr>
          <w:rFonts w:ascii="Book Antiqua" w:hAnsi="Book Antiqua"/>
          <w:b/>
          <w:bCs/>
        </w:rPr>
        <w:t>the “Company</w:t>
      </w:r>
      <w:r>
        <w:rPr>
          <w:rFonts w:ascii="Book Antiqua" w:hAnsi="Book Antiqua"/>
        </w:rPr>
        <w:t>”) has adopted this</w:t>
      </w:r>
      <w:r w:rsidRPr="004667A2">
        <w:rPr>
          <w:rFonts w:ascii="Book Antiqua" w:hAnsi="Book Antiqua"/>
        </w:rPr>
        <w:t xml:space="preserve"> </w:t>
      </w:r>
      <w:r w:rsidR="00C41700">
        <w:rPr>
          <w:rFonts w:ascii="Book Antiqua" w:hAnsi="Book Antiqua"/>
        </w:rPr>
        <w:t xml:space="preserve">Archival </w:t>
      </w:r>
      <w:r w:rsidRPr="004667A2">
        <w:rPr>
          <w:rFonts w:ascii="Book Antiqua" w:hAnsi="Book Antiqua"/>
        </w:rPr>
        <w:t>policy</w:t>
      </w:r>
      <w:r>
        <w:rPr>
          <w:rFonts w:ascii="Book Antiqua" w:hAnsi="Book Antiqua"/>
        </w:rPr>
        <w:t xml:space="preserve"> </w:t>
      </w:r>
      <w:r w:rsidRPr="004667A2">
        <w:rPr>
          <w:rFonts w:ascii="Book Antiqua" w:hAnsi="Book Antiqua"/>
        </w:rPr>
        <w:t>in line with the provisions of SEBI (Listing Obligation and Disclosure Requirements) Regulations, 2015 (Effective from 1</w:t>
      </w:r>
      <w:r w:rsidRPr="004667A2">
        <w:rPr>
          <w:rFonts w:ascii="Book Antiqua" w:hAnsi="Book Antiqua"/>
          <w:vertAlign w:val="superscript"/>
        </w:rPr>
        <w:t>st</w:t>
      </w:r>
      <w:r w:rsidRPr="004667A2">
        <w:rPr>
          <w:rFonts w:ascii="Book Antiqua" w:hAnsi="Book Antiqua"/>
        </w:rPr>
        <w:t xml:space="preserve"> December, 2015) </w:t>
      </w:r>
      <w:r>
        <w:rPr>
          <w:rFonts w:ascii="Book Antiqua" w:hAnsi="Book Antiqua"/>
        </w:rPr>
        <w:t xml:space="preserve">(here in after referred as </w:t>
      </w:r>
      <w:r w:rsidRPr="00FD1350">
        <w:rPr>
          <w:rFonts w:ascii="Book Antiqua" w:hAnsi="Book Antiqua"/>
          <w:b/>
        </w:rPr>
        <w:t>Listing Regulation</w:t>
      </w:r>
      <w:r>
        <w:rPr>
          <w:rFonts w:ascii="Book Antiqua" w:hAnsi="Book Antiqua"/>
        </w:rPr>
        <w:t>).</w:t>
      </w:r>
      <w:r w:rsidRPr="005E3B1E">
        <w:rPr>
          <w:rFonts w:ascii="Book Antiqua" w:hAnsi="Book Antiqua"/>
        </w:rPr>
        <w:t xml:space="preserve"> </w:t>
      </w:r>
      <w:r w:rsidRPr="004667A2">
        <w:rPr>
          <w:rFonts w:ascii="Book Antiqua" w:hAnsi="Book Antiqua"/>
        </w:rPr>
        <w:t xml:space="preserve">This Policy will be applicable to the Company </w:t>
      </w:r>
      <w:r>
        <w:rPr>
          <w:rFonts w:ascii="Book Antiqua" w:hAnsi="Book Antiqua"/>
        </w:rPr>
        <w:t xml:space="preserve">with </w:t>
      </w:r>
      <w:r w:rsidRPr="004667A2">
        <w:rPr>
          <w:rFonts w:ascii="Book Antiqua" w:hAnsi="Book Antiqua"/>
        </w:rPr>
        <w:t>effect</w:t>
      </w:r>
      <w:r>
        <w:rPr>
          <w:rFonts w:ascii="Book Antiqua" w:hAnsi="Book Antiqua"/>
        </w:rPr>
        <w:t xml:space="preserve"> from</w:t>
      </w:r>
      <w:r w:rsidRPr="004667A2">
        <w:rPr>
          <w:rFonts w:ascii="Book Antiqua" w:hAnsi="Book Antiqua"/>
        </w:rPr>
        <w:t xml:space="preserve"> </w:t>
      </w:r>
      <w:r w:rsidRPr="004667A2">
        <w:rPr>
          <w:rFonts w:ascii="Book Antiqua" w:hAnsi="Book Antiqua"/>
          <w:b/>
          <w:bCs/>
        </w:rPr>
        <w:t>1</w:t>
      </w:r>
      <w:r w:rsidRPr="004667A2">
        <w:rPr>
          <w:rFonts w:ascii="Book Antiqua" w:hAnsi="Book Antiqua"/>
          <w:b/>
          <w:bCs/>
          <w:vertAlign w:val="superscript"/>
        </w:rPr>
        <w:t>st</w:t>
      </w:r>
      <w:r w:rsidRPr="004667A2">
        <w:rPr>
          <w:rFonts w:ascii="Book Antiqua" w:hAnsi="Book Antiqua"/>
          <w:b/>
          <w:bCs/>
        </w:rPr>
        <w:t xml:space="preserve"> December, 2015</w:t>
      </w:r>
      <w:r w:rsidRPr="004667A2">
        <w:rPr>
          <w:rFonts w:ascii="Book Antiqua" w:hAnsi="Book Antiqua"/>
        </w:rPr>
        <w:t>.</w:t>
      </w:r>
    </w:p>
    <w:p w:rsidR="000A2586" w:rsidRDefault="000A2586" w:rsidP="00B707EA">
      <w:pPr>
        <w:jc w:val="both"/>
        <w:rPr>
          <w:rFonts w:ascii="Book Antiqua" w:hAnsi="Book Antiqua"/>
        </w:rPr>
      </w:pPr>
    </w:p>
    <w:p w:rsidR="00C41700" w:rsidRPr="0062252D" w:rsidRDefault="000A2586" w:rsidP="00921A88">
      <w:pPr>
        <w:pStyle w:val="Default"/>
        <w:ind w:hanging="270"/>
        <w:rPr>
          <w:rFonts w:ascii="Book Antiqua" w:hAnsi="Book Antiqua"/>
          <w:b/>
          <w:u w:val="single"/>
        </w:rPr>
      </w:pPr>
      <w:r w:rsidRPr="004F2CA6">
        <w:rPr>
          <w:rFonts w:ascii="Book Antiqua" w:hAnsi="Book Antiqua"/>
          <w:b/>
        </w:rPr>
        <w:t xml:space="preserve">2. </w:t>
      </w:r>
      <w:r w:rsidR="004F2CA6">
        <w:rPr>
          <w:rFonts w:ascii="Book Antiqua" w:hAnsi="Book Antiqua"/>
          <w:b/>
        </w:rPr>
        <w:t xml:space="preserve"> </w:t>
      </w:r>
      <w:r w:rsidR="0062252D">
        <w:rPr>
          <w:rFonts w:ascii="Book Antiqua" w:hAnsi="Book Antiqua"/>
          <w:b/>
          <w:u w:val="single"/>
        </w:rPr>
        <w:t>Purpose</w:t>
      </w:r>
    </w:p>
    <w:p w:rsidR="00C41700" w:rsidRPr="00C41700" w:rsidRDefault="00C41700" w:rsidP="00C41700">
      <w:pPr>
        <w:pStyle w:val="Default"/>
        <w:rPr>
          <w:rFonts w:ascii="Arial" w:hAnsi="Arial" w:cs="Arial"/>
        </w:rPr>
      </w:pPr>
    </w:p>
    <w:p w:rsidR="003B5A0A" w:rsidRPr="003B5A0A" w:rsidRDefault="00C41700" w:rsidP="00921A88">
      <w:pPr>
        <w:jc w:val="both"/>
        <w:rPr>
          <w:rFonts w:ascii="Book Antiqua" w:hAnsi="Book Antiqua"/>
        </w:rPr>
      </w:pPr>
      <w:r w:rsidRPr="00C41700">
        <w:rPr>
          <w:rFonts w:ascii="Arial" w:hAnsi="Arial" w:cs="Arial"/>
          <w:color w:val="000000"/>
        </w:rPr>
        <w:t xml:space="preserve">The </w:t>
      </w:r>
      <w:r>
        <w:rPr>
          <w:rFonts w:ascii="Arial" w:hAnsi="Arial" w:cs="Arial"/>
          <w:color w:val="000000"/>
        </w:rPr>
        <w:t xml:space="preserve">SEBI </w:t>
      </w:r>
      <w:r w:rsidRPr="00C41700">
        <w:rPr>
          <w:rFonts w:ascii="Arial" w:hAnsi="Arial" w:cs="Arial"/>
          <w:color w:val="000000"/>
        </w:rPr>
        <w:t>(Listing Obligations and Disclosure Requirements) Regulations, 2015 requires listed companies to disclose on its website all such events or information which has been disclosed to stock exchange(s) under this regulation and such disclosures shall be hosted on the website of the listed entity for a minimum period of five years and thereafter as per the archival policy of the listed entity, as disclosed on its website</w:t>
      </w:r>
      <w:r w:rsidR="009F6F24" w:rsidRPr="002E03FE">
        <w:rPr>
          <w:rFonts w:ascii="Book Antiqua" w:hAnsi="Book Antiqua"/>
          <w:b/>
          <w:bCs/>
          <w:sz w:val="24"/>
          <w:szCs w:val="24"/>
        </w:rPr>
        <w:t>.</w:t>
      </w:r>
      <w:r w:rsidR="009F6F24" w:rsidRPr="002E03FE">
        <w:rPr>
          <w:rFonts w:ascii="Book Antiqua" w:hAnsi="Book Antiqua"/>
          <w:b/>
          <w:bCs/>
          <w:sz w:val="24"/>
          <w:szCs w:val="24"/>
          <w:u w:val="single"/>
        </w:rPr>
        <w:t xml:space="preserve"> </w:t>
      </w:r>
    </w:p>
    <w:p w:rsidR="00815BBE" w:rsidRPr="00815BBE" w:rsidRDefault="00815BBE" w:rsidP="00815BBE">
      <w:pPr>
        <w:autoSpaceDE w:val="0"/>
        <w:autoSpaceDN w:val="0"/>
        <w:adjustRightInd w:val="0"/>
        <w:spacing w:after="0" w:line="240" w:lineRule="auto"/>
        <w:rPr>
          <w:rFonts w:ascii="ADNIIP+TimesNewRoman" w:hAnsi="ADNIIP+TimesNewRoman" w:cs="ADNIIP+TimesNewRoman"/>
          <w:color w:val="000000"/>
          <w:sz w:val="24"/>
          <w:szCs w:val="24"/>
        </w:rPr>
      </w:pPr>
    </w:p>
    <w:p w:rsidR="00815BBE" w:rsidRPr="00815BBE" w:rsidRDefault="00921A88" w:rsidP="00921A88">
      <w:pPr>
        <w:autoSpaceDE w:val="0"/>
        <w:autoSpaceDN w:val="0"/>
        <w:adjustRightInd w:val="0"/>
        <w:spacing w:after="0" w:line="240" w:lineRule="auto"/>
        <w:ind w:hanging="270"/>
        <w:rPr>
          <w:rFonts w:ascii="ADNIIP+TimesNewRoman" w:hAnsi="ADNIIP+TimesNewRoman" w:cs="ADNIIP+TimesNewRoman"/>
          <w:color w:val="000000"/>
          <w:sz w:val="24"/>
          <w:szCs w:val="24"/>
        </w:rPr>
      </w:pPr>
      <w:r>
        <w:rPr>
          <w:rFonts w:ascii="ADNIIP+TimesNewRoman" w:hAnsi="ADNIIP+TimesNewRoman" w:cs="ADNIIP+TimesNewRoman"/>
          <w:b/>
          <w:bCs/>
          <w:color w:val="000000"/>
          <w:sz w:val="24"/>
          <w:szCs w:val="24"/>
        </w:rPr>
        <w:t>3</w:t>
      </w:r>
      <w:r w:rsidR="00815BBE">
        <w:rPr>
          <w:rFonts w:ascii="ADNIIP+TimesNewRoman" w:hAnsi="ADNIIP+TimesNewRoman" w:cs="ADNIIP+TimesNewRoman"/>
          <w:b/>
          <w:bCs/>
          <w:color w:val="000000"/>
          <w:sz w:val="24"/>
          <w:szCs w:val="24"/>
        </w:rPr>
        <w:t xml:space="preserve">. </w:t>
      </w:r>
      <w:r w:rsidR="0062252D">
        <w:rPr>
          <w:rFonts w:ascii="Book Antiqua" w:hAnsi="Book Antiqua"/>
          <w:b/>
          <w:bCs/>
          <w:sz w:val="24"/>
          <w:szCs w:val="24"/>
          <w:u w:val="single"/>
        </w:rPr>
        <w:t>Archival Policy</w:t>
      </w:r>
    </w:p>
    <w:p w:rsidR="00815BBE" w:rsidRPr="00815BBE" w:rsidRDefault="00815BBE" w:rsidP="00815BBE">
      <w:pPr>
        <w:autoSpaceDE w:val="0"/>
        <w:autoSpaceDN w:val="0"/>
        <w:adjustRightInd w:val="0"/>
        <w:spacing w:after="0" w:line="240" w:lineRule="auto"/>
        <w:rPr>
          <w:rFonts w:ascii="ADNIIP+TimesNewRoman" w:hAnsi="ADNIIP+TimesNewRoman" w:cs="ADNIIP+TimesNewRoman"/>
          <w:color w:val="000000"/>
          <w:sz w:val="24"/>
          <w:szCs w:val="24"/>
        </w:rPr>
      </w:pPr>
    </w:p>
    <w:p w:rsidR="00FA0EDC" w:rsidRDefault="00815BBE" w:rsidP="00FA0EDC">
      <w:pPr>
        <w:ind w:hanging="270"/>
        <w:jc w:val="both"/>
        <w:rPr>
          <w:rFonts w:ascii="Book Antiqua" w:hAnsi="Book Antiqua"/>
        </w:rPr>
      </w:pPr>
      <w:r w:rsidRPr="00815BBE">
        <w:rPr>
          <w:rFonts w:ascii="Book Antiqua" w:hAnsi="Book Antiqua"/>
        </w:rPr>
        <w:t xml:space="preserve"> </w:t>
      </w:r>
      <w:r w:rsidR="00305817">
        <w:rPr>
          <w:rFonts w:ascii="Book Antiqua" w:hAnsi="Book Antiqua"/>
        </w:rPr>
        <w:t xml:space="preserve">    </w:t>
      </w:r>
      <w:r w:rsidR="00921A88">
        <w:rPr>
          <w:rFonts w:ascii="Book Antiqua" w:hAnsi="Book Antiqua"/>
        </w:rPr>
        <w:t xml:space="preserve">In accordance with the provisions of the aforesaid Regulations </w:t>
      </w:r>
      <w:r w:rsidR="00921A88" w:rsidRPr="00C41700">
        <w:rPr>
          <w:rFonts w:ascii="Arial" w:hAnsi="Arial" w:cs="Arial"/>
          <w:color w:val="000000"/>
        </w:rPr>
        <w:t xml:space="preserve">all such events or information which has been disclosed to stock exchange(s) under this regulation shall be hosted on the website of the </w:t>
      </w:r>
      <w:r w:rsidR="00F72E49">
        <w:rPr>
          <w:rFonts w:ascii="Arial" w:hAnsi="Arial" w:cs="Arial"/>
          <w:color w:val="000000"/>
        </w:rPr>
        <w:t>company</w:t>
      </w:r>
      <w:r w:rsidR="00921A88" w:rsidRPr="00C41700">
        <w:rPr>
          <w:rFonts w:ascii="Arial" w:hAnsi="Arial" w:cs="Arial"/>
          <w:color w:val="000000"/>
        </w:rPr>
        <w:t xml:space="preserve"> for a minimum period of five years</w:t>
      </w:r>
      <w:r w:rsidR="00921A88">
        <w:rPr>
          <w:rFonts w:ascii="Arial" w:hAnsi="Arial" w:cs="Arial"/>
          <w:color w:val="000000"/>
        </w:rPr>
        <w:t xml:space="preserve"> and thereafter will be archived for a period of 3 years. The same may be destroyed thereafter. </w:t>
      </w:r>
      <w:r w:rsidR="00921A88">
        <w:rPr>
          <w:rFonts w:ascii="Book Antiqua" w:hAnsi="Book Antiqua"/>
        </w:rPr>
        <w:t xml:space="preserve"> </w:t>
      </w:r>
      <w:r w:rsidR="00305817">
        <w:rPr>
          <w:rFonts w:ascii="Book Antiqua" w:hAnsi="Book Antiqua"/>
        </w:rPr>
        <w:t xml:space="preserve"> </w:t>
      </w:r>
      <w:r w:rsidR="00E45C6B">
        <w:rPr>
          <w:rFonts w:ascii="Book Antiqua" w:hAnsi="Book Antiqua"/>
        </w:rPr>
        <w:t xml:space="preserve">     </w:t>
      </w:r>
    </w:p>
    <w:p w:rsidR="00FA0EDC" w:rsidRDefault="00FA0EDC" w:rsidP="00FA0EDC">
      <w:pPr>
        <w:ind w:hanging="270"/>
        <w:jc w:val="both"/>
        <w:rPr>
          <w:rFonts w:ascii="Book Antiqua" w:hAnsi="Book Antiqua"/>
        </w:rPr>
      </w:pPr>
    </w:p>
    <w:p w:rsidR="00FA0EDC" w:rsidRPr="00FD316B" w:rsidRDefault="00FA0EDC" w:rsidP="00FA0EDC">
      <w:pPr>
        <w:ind w:hanging="270"/>
        <w:jc w:val="both"/>
        <w:rPr>
          <w:rFonts w:ascii="Book Antiqua" w:hAnsi="Book Antiqua"/>
          <w:u w:val="single"/>
        </w:rPr>
      </w:pPr>
      <w:r w:rsidRPr="00FD316B">
        <w:rPr>
          <w:rFonts w:ascii="Book Antiqua" w:hAnsi="Book Antiqua"/>
        </w:rPr>
        <w:t xml:space="preserve">4. </w:t>
      </w:r>
      <w:r w:rsidRPr="00FD316B">
        <w:rPr>
          <w:rFonts w:ascii="Book Antiqua" w:hAnsi="Book Antiqua"/>
          <w:b/>
          <w:bCs/>
          <w:u w:val="single"/>
        </w:rPr>
        <w:t>Policy Review and Amendment:</w:t>
      </w:r>
    </w:p>
    <w:p w:rsidR="00FA0EDC" w:rsidRPr="00FD316B" w:rsidRDefault="00FA0EDC" w:rsidP="00FA0EDC">
      <w:pPr>
        <w:jc w:val="both"/>
        <w:rPr>
          <w:rFonts w:ascii="Book Antiqua" w:hAnsi="Book Antiqua"/>
        </w:rPr>
      </w:pPr>
      <w:r w:rsidRPr="00FD316B">
        <w:rPr>
          <w:rFonts w:ascii="Book Antiqua" w:hAnsi="Book Antiqua"/>
        </w:rPr>
        <w:t xml:space="preserve">This policy shall be reviewed from time to time so that the policy remains compliant with applicable legal requirements. Any change in the Policy shall be approved by the Board of Directors of the Company. The Board of Directors shall have the right to withdraw and / or amend any part of this Policy or the entire Policy, at any time, as it deems fit. </w:t>
      </w:r>
    </w:p>
    <w:p w:rsidR="00FA0EDC" w:rsidRDefault="00FA0EDC" w:rsidP="00491955">
      <w:pPr>
        <w:jc w:val="both"/>
        <w:rPr>
          <w:rFonts w:ascii="Book Antiqua" w:hAnsi="Book Antiqua"/>
        </w:rPr>
      </w:pPr>
    </w:p>
    <w:p w:rsidR="00ED6C8C" w:rsidRPr="00ED6C8C" w:rsidRDefault="00FA0EDC" w:rsidP="00921A88">
      <w:pPr>
        <w:ind w:left="-270"/>
        <w:jc w:val="both"/>
        <w:rPr>
          <w:rFonts w:ascii="ADNIIP+TimesNewRoman" w:hAnsi="ADNIIP+TimesNewRoman" w:cs="ADNIIP+TimesNewRoman"/>
          <w:b/>
          <w:bCs/>
          <w:color w:val="000000"/>
          <w:sz w:val="24"/>
          <w:szCs w:val="24"/>
        </w:rPr>
      </w:pPr>
      <w:r>
        <w:rPr>
          <w:rFonts w:ascii="ADNIIP+TimesNewRoman" w:hAnsi="ADNIIP+TimesNewRoman" w:cs="ADNIIP+TimesNewRoman"/>
          <w:b/>
          <w:bCs/>
          <w:color w:val="000000"/>
          <w:sz w:val="24"/>
          <w:szCs w:val="24"/>
        </w:rPr>
        <w:t>5</w:t>
      </w:r>
      <w:r w:rsidR="00ED6C8C" w:rsidRPr="00ED6C8C">
        <w:rPr>
          <w:rFonts w:ascii="ADNIIP+TimesNewRoman" w:hAnsi="ADNIIP+TimesNewRoman" w:cs="ADNIIP+TimesNewRoman"/>
          <w:b/>
          <w:bCs/>
          <w:color w:val="000000"/>
          <w:sz w:val="24"/>
          <w:szCs w:val="24"/>
        </w:rPr>
        <w:t xml:space="preserve">. </w:t>
      </w:r>
      <w:r w:rsidR="0062252D">
        <w:rPr>
          <w:rFonts w:ascii="Book Antiqua" w:hAnsi="Book Antiqua"/>
          <w:b/>
          <w:bCs/>
          <w:sz w:val="24"/>
          <w:szCs w:val="24"/>
          <w:u w:val="single"/>
        </w:rPr>
        <w:t>Precedence</w:t>
      </w:r>
    </w:p>
    <w:p w:rsidR="00ED6C8C" w:rsidRPr="00ED6C8C" w:rsidRDefault="00ED6C8C" w:rsidP="00921A88">
      <w:pPr>
        <w:jc w:val="both"/>
        <w:rPr>
          <w:rFonts w:ascii="Book Antiqua" w:hAnsi="Book Antiqua"/>
        </w:rPr>
      </w:pPr>
      <w:r w:rsidRPr="00ED6C8C">
        <w:rPr>
          <w:rFonts w:ascii="Book Antiqua" w:hAnsi="Book Antiqua"/>
        </w:rPr>
        <w:t xml:space="preserve">In any circumstance where the terms of this policy differ from any existing or newly enacted law, rule, regulation or standard governing the Company, the </w:t>
      </w:r>
      <w:r w:rsidR="00121078">
        <w:rPr>
          <w:rFonts w:ascii="Book Antiqua" w:hAnsi="Book Antiqua"/>
        </w:rPr>
        <w:t xml:space="preserve">new </w:t>
      </w:r>
      <w:r w:rsidRPr="00ED6C8C">
        <w:rPr>
          <w:rFonts w:ascii="Book Antiqua" w:hAnsi="Book Antiqua"/>
        </w:rPr>
        <w:t xml:space="preserve">law, rule, regulation or standard will take precedence over these policies and procedures until such time as this policy is changed to conform to the law, rule, regulation or standard. </w:t>
      </w:r>
    </w:p>
    <w:p w:rsidR="00ED6C8C" w:rsidRPr="00ED6C8C" w:rsidRDefault="00ED6C8C" w:rsidP="00094125">
      <w:pPr>
        <w:jc w:val="both"/>
        <w:rPr>
          <w:rFonts w:ascii="Book Antiqua" w:hAnsi="Book Antiqua"/>
        </w:rPr>
      </w:pPr>
    </w:p>
    <w:p w:rsidR="00ED6C8C" w:rsidRDefault="00ED6C8C" w:rsidP="00094125">
      <w:pPr>
        <w:jc w:val="center"/>
        <w:rPr>
          <w:rFonts w:ascii="Book Antiqua" w:hAnsi="Book Antiqua"/>
        </w:rPr>
      </w:pPr>
      <w:r w:rsidRPr="00ED6C8C">
        <w:rPr>
          <w:rFonts w:ascii="Book Antiqua" w:hAnsi="Book Antiqua"/>
        </w:rPr>
        <w:t>**********</w:t>
      </w:r>
    </w:p>
    <w:sectPr w:rsidR="00ED6C8C" w:rsidSect="005E52F2">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DNIIP+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09DC"/>
    <w:rsid w:val="000236E4"/>
    <w:rsid w:val="000428BA"/>
    <w:rsid w:val="00094125"/>
    <w:rsid w:val="0009427C"/>
    <w:rsid w:val="000A2586"/>
    <w:rsid w:val="000C5989"/>
    <w:rsid w:val="00121078"/>
    <w:rsid w:val="001376E7"/>
    <w:rsid w:val="00180207"/>
    <w:rsid w:val="001A197E"/>
    <w:rsid w:val="001D4629"/>
    <w:rsid w:val="001F1672"/>
    <w:rsid w:val="001F6AC0"/>
    <w:rsid w:val="00217F9C"/>
    <w:rsid w:val="0027066B"/>
    <w:rsid w:val="00296D86"/>
    <w:rsid w:val="002B7512"/>
    <w:rsid w:val="002E03FE"/>
    <w:rsid w:val="0030444C"/>
    <w:rsid w:val="00305817"/>
    <w:rsid w:val="00372852"/>
    <w:rsid w:val="003B5A0A"/>
    <w:rsid w:val="003F6AB5"/>
    <w:rsid w:val="00412B22"/>
    <w:rsid w:val="00422F6A"/>
    <w:rsid w:val="004613A1"/>
    <w:rsid w:val="00491955"/>
    <w:rsid w:val="004B7ADB"/>
    <w:rsid w:val="004D1E49"/>
    <w:rsid w:val="004F2CA6"/>
    <w:rsid w:val="00551AC0"/>
    <w:rsid w:val="00586A94"/>
    <w:rsid w:val="005E52F2"/>
    <w:rsid w:val="005E56F5"/>
    <w:rsid w:val="00614D5A"/>
    <w:rsid w:val="00615026"/>
    <w:rsid w:val="0062252D"/>
    <w:rsid w:val="00645354"/>
    <w:rsid w:val="006841AF"/>
    <w:rsid w:val="00707C96"/>
    <w:rsid w:val="007C29AF"/>
    <w:rsid w:val="007C754A"/>
    <w:rsid w:val="007D07DA"/>
    <w:rsid w:val="007F03CA"/>
    <w:rsid w:val="007F0EFF"/>
    <w:rsid w:val="007F6F1F"/>
    <w:rsid w:val="00803AF5"/>
    <w:rsid w:val="00815BBE"/>
    <w:rsid w:val="008268FF"/>
    <w:rsid w:val="0085456A"/>
    <w:rsid w:val="00884B9D"/>
    <w:rsid w:val="0088563A"/>
    <w:rsid w:val="00890E67"/>
    <w:rsid w:val="008E58B6"/>
    <w:rsid w:val="0090696C"/>
    <w:rsid w:val="00921A88"/>
    <w:rsid w:val="00966FA5"/>
    <w:rsid w:val="00987D22"/>
    <w:rsid w:val="009B1AA4"/>
    <w:rsid w:val="009D33A2"/>
    <w:rsid w:val="009D47C5"/>
    <w:rsid w:val="009F6F24"/>
    <w:rsid w:val="00A107D7"/>
    <w:rsid w:val="00A4089E"/>
    <w:rsid w:val="00A65739"/>
    <w:rsid w:val="00A7322D"/>
    <w:rsid w:val="00A7620E"/>
    <w:rsid w:val="00B23182"/>
    <w:rsid w:val="00B707EA"/>
    <w:rsid w:val="00B709DC"/>
    <w:rsid w:val="00B7135C"/>
    <w:rsid w:val="00BB0D2A"/>
    <w:rsid w:val="00BC69F3"/>
    <w:rsid w:val="00BF3F1C"/>
    <w:rsid w:val="00C00A8F"/>
    <w:rsid w:val="00C41700"/>
    <w:rsid w:val="00C8394C"/>
    <w:rsid w:val="00C878D6"/>
    <w:rsid w:val="00CA3E0D"/>
    <w:rsid w:val="00CA3F96"/>
    <w:rsid w:val="00CC5F53"/>
    <w:rsid w:val="00CD5B3F"/>
    <w:rsid w:val="00D04946"/>
    <w:rsid w:val="00D35B3C"/>
    <w:rsid w:val="00D40AEE"/>
    <w:rsid w:val="00E10555"/>
    <w:rsid w:val="00E3251F"/>
    <w:rsid w:val="00E45C6B"/>
    <w:rsid w:val="00E57559"/>
    <w:rsid w:val="00E61A93"/>
    <w:rsid w:val="00E90A36"/>
    <w:rsid w:val="00EA5689"/>
    <w:rsid w:val="00EB01EE"/>
    <w:rsid w:val="00ED6C8C"/>
    <w:rsid w:val="00EE6E78"/>
    <w:rsid w:val="00F72E49"/>
    <w:rsid w:val="00FA0359"/>
    <w:rsid w:val="00FA0EDC"/>
    <w:rsid w:val="00FB396C"/>
    <w:rsid w:val="00FB72B2"/>
    <w:rsid w:val="00FD316B"/>
    <w:rsid w:val="00FE2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A0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7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2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B5A0A"/>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B7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72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5021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275</TotalTime>
  <Pages>1</Pages>
  <Words>296</Words>
  <Characters>1690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Vasandani</dc:creator>
  <cp:lastModifiedBy>Gunjan Methi</cp:lastModifiedBy>
  <cp:revision>19</cp:revision>
  <dcterms:created xsi:type="dcterms:W3CDTF">2015-11-25T13:08:00Z</dcterms:created>
  <dcterms:modified xsi:type="dcterms:W3CDTF">2015-12-30T13:52:00Z</dcterms:modified>
</cp:coreProperties>
</file>